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AB5" w:rsidRDefault="0052129E">
      <w:pPr>
        <w:widowControl/>
        <w:jc w:val="left"/>
        <w:rPr>
          <w:b/>
          <w:bCs/>
          <w:snapToGrid w:val="0"/>
          <w:kern w:val="0"/>
          <w:sz w:val="24"/>
        </w:rPr>
      </w:pPr>
      <w:r>
        <w:rPr>
          <w:b/>
          <w:bCs/>
          <w:snapToGrid w:val="0"/>
          <w:kern w:val="0"/>
          <w:sz w:val="24"/>
        </w:rPr>
        <w:t>3GPP TSG-RAN WG2 Meeting #121</w:t>
      </w:r>
      <w:r>
        <w:rPr>
          <w:b/>
          <w:bCs/>
          <w:snapToGrid w:val="0"/>
          <w:kern w:val="0"/>
          <w:sz w:val="24"/>
        </w:rPr>
        <w:tab/>
      </w:r>
      <w:r>
        <w:rPr>
          <w:b/>
          <w:bCs/>
          <w:snapToGrid w:val="0"/>
          <w:kern w:val="0"/>
          <w:sz w:val="24"/>
        </w:rPr>
        <w:t xml:space="preserve">                                  </w:t>
      </w:r>
      <w:r w:rsidRPr="00B92F5A">
        <w:rPr>
          <w:b/>
          <w:bCs/>
          <w:i/>
          <w:snapToGrid w:val="0"/>
          <w:kern w:val="0"/>
          <w:sz w:val="24"/>
        </w:rPr>
        <w:t>R2-2301066</w:t>
      </w:r>
    </w:p>
    <w:p w:rsidR="00E02AB5" w:rsidRDefault="0052129E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b/>
          <w:bCs/>
          <w:snapToGrid w:val="0"/>
          <w:kern w:val="0"/>
          <w:sz w:val="24"/>
        </w:rPr>
      </w:pPr>
      <w:r>
        <w:rPr>
          <w:b/>
          <w:bCs/>
          <w:snapToGrid w:val="0"/>
          <w:kern w:val="0"/>
          <w:sz w:val="24"/>
        </w:rPr>
        <w:t>Athens, Greece, February</w:t>
      </w:r>
      <w:r>
        <w:rPr>
          <w:b/>
          <w:bCs/>
          <w:snapToGrid w:val="0"/>
          <w:kern w:val="0"/>
          <w:sz w:val="24"/>
        </w:rPr>
        <w:t xml:space="preserve"> 27th</w:t>
      </w:r>
      <w:r>
        <w:rPr>
          <w:b/>
          <w:bCs/>
          <w:snapToGrid w:val="0"/>
          <w:kern w:val="0"/>
          <w:sz w:val="24"/>
        </w:rPr>
        <w:t>-March</w:t>
      </w:r>
      <w:r>
        <w:rPr>
          <w:b/>
          <w:bCs/>
          <w:snapToGrid w:val="0"/>
          <w:kern w:val="0"/>
          <w:sz w:val="24"/>
        </w:rPr>
        <w:t xml:space="preserve"> 3rd</w:t>
      </w:r>
      <w:r>
        <w:rPr>
          <w:b/>
          <w:bCs/>
          <w:snapToGrid w:val="0"/>
          <w:kern w:val="0"/>
          <w:sz w:val="24"/>
        </w:rPr>
        <w:t>, 202</w:t>
      </w:r>
      <w:r>
        <w:rPr>
          <w:b/>
          <w:bCs/>
          <w:snapToGrid w:val="0"/>
          <w:kern w:val="0"/>
          <w:sz w:val="24"/>
        </w:rPr>
        <w:t>3</w:t>
      </w:r>
    </w:p>
    <w:p w:rsidR="00E02AB5" w:rsidRDefault="0052129E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b/>
          <w:bCs/>
          <w:snapToGrid w:val="0"/>
          <w:kern w:val="0"/>
          <w:sz w:val="24"/>
        </w:rPr>
      </w:pPr>
      <w:r>
        <w:rPr>
          <w:b/>
          <w:bCs/>
          <w:snapToGrid w:val="0"/>
          <w:kern w:val="0"/>
          <w:sz w:val="24"/>
        </w:rPr>
        <w:t xml:space="preserve">Source: </w:t>
      </w:r>
      <w:r>
        <w:rPr>
          <w:b/>
          <w:bCs/>
          <w:snapToGrid w:val="0"/>
          <w:kern w:val="0"/>
          <w:sz w:val="24"/>
        </w:rPr>
        <w:tab/>
      </w:r>
      <w:r>
        <w:rPr>
          <w:b/>
          <w:bCs/>
          <w:snapToGrid w:val="0"/>
          <w:kern w:val="0"/>
          <w:sz w:val="24"/>
        </w:rPr>
        <w:tab/>
      </w:r>
      <w:r>
        <w:rPr>
          <w:b/>
          <w:bCs/>
          <w:snapToGrid w:val="0"/>
          <w:kern w:val="0"/>
          <w:sz w:val="24"/>
        </w:rPr>
        <w:tab/>
        <w:t xml:space="preserve">ZTE </w:t>
      </w:r>
      <w:r w:rsidR="00B92F5A">
        <w:rPr>
          <w:b/>
          <w:bCs/>
          <w:snapToGrid w:val="0"/>
          <w:kern w:val="0"/>
          <w:sz w:val="24"/>
        </w:rPr>
        <w:t>C</w:t>
      </w:r>
      <w:r>
        <w:rPr>
          <w:b/>
          <w:bCs/>
          <w:snapToGrid w:val="0"/>
          <w:kern w:val="0"/>
          <w:sz w:val="24"/>
        </w:rPr>
        <w:t>orporation, Sanechips</w:t>
      </w:r>
    </w:p>
    <w:p w:rsidR="00E02AB5" w:rsidRDefault="0052129E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b/>
          <w:bCs/>
          <w:snapToGrid w:val="0"/>
          <w:kern w:val="0"/>
          <w:sz w:val="24"/>
        </w:rPr>
      </w:pPr>
      <w:r>
        <w:rPr>
          <w:b/>
          <w:bCs/>
          <w:snapToGrid w:val="0"/>
          <w:kern w:val="0"/>
          <w:sz w:val="24"/>
        </w:rPr>
        <w:t xml:space="preserve">Title: </w:t>
      </w:r>
      <w:r>
        <w:rPr>
          <w:b/>
          <w:bCs/>
          <w:snapToGrid w:val="0"/>
          <w:kern w:val="0"/>
          <w:sz w:val="24"/>
        </w:rPr>
        <w:tab/>
      </w:r>
      <w:r>
        <w:rPr>
          <w:b/>
          <w:bCs/>
          <w:snapToGrid w:val="0"/>
          <w:kern w:val="0"/>
          <w:sz w:val="24"/>
        </w:rPr>
        <w:t>Discussion on</w:t>
      </w:r>
      <w:r>
        <w:rPr>
          <w:rFonts w:hint="eastAsia"/>
          <w:b/>
          <w:bCs/>
          <w:snapToGrid w:val="0"/>
          <w:kern w:val="0"/>
          <w:sz w:val="24"/>
        </w:rPr>
        <w:t xml:space="preserve"> CHO</w:t>
      </w:r>
      <w:r>
        <w:rPr>
          <w:b/>
          <w:bCs/>
          <w:snapToGrid w:val="0"/>
          <w:kern w:val="0"/>
          <w:sz w:val="24"/>
        </w:rPr>
        <w:t xml:space="preserve"> </w:t>
      </w:r>
      <w:r>
        <w:rPr>
          <w:rFonts w:hint="eastAsia"/>
          <w:b/>
          <w:bCs/>
          <w:snapToGrid w:val="0"/>
          <w:kern w:val="0"/>
          <w:sz w:val="24"/>
        </w:rPr>
        <w:t xml:space="preserve">enhancements </w:t>
      </w:r>
      <w:r>
        <w:rPr>
          <w:b/>
          <w:bCs/>
          <w:snapToGrid w:val="0"/>
          <w:kern w:val="0"/>
          <w:sz w:val="24"/>
        </w:rPr>
        <w:t>for NES</w:t>
      </w:r>
    </w:p>
    <w:p w:rsidR="00E02AB5" w:rsidRDefault="0052129E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b/>
          <w:bCs/>
          <w:snapToGrid w:val="0"/>
          <w:kern w:val="0"/>
          <w:sz w:val="24"/>
        </w:rPr>
      </w:pPr>
      <w:r>
        <w:rPr>
          <w:b/>
          <w:bCs/>
          <w:snapToGrid w:val="0"/>
          <w:kern w:val="0"/>
          <w:sz w:val="24"/>
        </w:rPr>
        <w:t>Agenda item:</w:t>
      </w:r>
      <w:r>
        <w:rPr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b/>
          <w:bCs/>
          <w:snapToGrid w:val="0"/>
          <w:kern w:val="0"/>
          <w:sz w:val="24"/>
        </w:rPr>
        <w:tab/>
        <w:t>8.3.</w:t>
      </w:r>
      <w:r>
        <w:rPr>
          <w:rFonts w:hint="eastAsia"/>
          <w:b/>
          <w:bCs/>
          <w:snapToGrid w:val="0"/>
          <w:kern w:val="0"/>
          <w:sz w:val="24"/>
        </w:rPr>
        <w:t>5</w:t>
      </w:r>
    </w:p>
    <w:p w:rsidR="00E02AB5" w:rsidRDefault="0052129E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b/>
          <w:bCs/>
          <w:snapToGrid w:val="0"/>
          <w:kern w:val="0"/>
          <w:sz w:val="24"/>
        </w:rPr>
      </w:pPr>
      <w:r>
        <w:rPr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b/>
          <w:bCs/>
          <w:snapToGrid w:val="0"/>
          <w:kern w:val="0"/>
          <w:sz w:val="24"/>
        </w:rPr>
        <w:t xml:space="preserve"> </w:t>
      </w:r>
      <w:r>
        <w:rPr>
          <w:b/>
          <w:bCs/>
          <w:snapToGrid w:val="0"/>
          <w:kern w:val="0"/>
          <w:sz w:val="24"/>
        </w:rPr>
        <w:tab/>
      </w:r>
      <w:r>
        <w:rPr>
          <w:rFonts w:hint="eastAsia"/>
          <w:b/>
          <w:bCs/>
          <w:snapToGrid w:val="0"/>
          <w:kern w:val="0"/>
          <w:sz w:val="24"/>
        </w:rPr>
        <w:tab/>
      </w:r>
      <w:r>
        <w:rPr>
          <w:b/>
          <w:bCs/>
          <w:snapToGrid w:val="0"/>
          <w:kern w:val="0"/>
          <w:sz w:val="24"/>
        </w:rPr>
        <w:t xml:space="preserve">Discussion </w:t>
      </w:r>
      <w:r>
        <w:rPr>
          <w:b/>
          <w:bCs/>
          <w:snapToGrid w:val="0"/>
          <w:kern w:val="0"/>
          <w:sz w:val="24"/>
        </w:rPr>
        <w:t>and Decision</w:t>
      </w:r>
    </w:p>
    <w:p w:rsidR="00E02AB5" w:rsidRDefault="0052129E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Introduction</w:t>
      </w:r>
    </w:p>
    <w:p w:rsidR="00E02AB5" w:rsidRDefault="0052129E">
      <w:pPr>
        <w:spacing w:after="0"/>
        <w:rPr>
          <w:bCs/>
          <w:sz w:val="20"/>
          <w:szCs w:val="20"/>
        </w:rPr>
      </w:pPr>
      <w:r>
        <w:rPr>
          <w:bCs/>
          <w:kern w:val="0"/>
          <w:sz w:val="20"/>
          <w:szCs w:val="20"/>
        </w:rPr>
        <w:t xml:space="preserve">In </w:t>
      </w:r>
      <w:r>
        <w:rPr>
          <w:bCs/>
          <w:kern w:val="0"/>
          <w:sz w:val="20"/>
          <w:szCs w:val="20"/>
        </w:rPr>
        <w:t>RAN#98</w:t>
      </w:r>
      <w:r>
        <w:rPr>
          <w:bCs/>
          <w:kern w:val="0"/>
          <w:sz w:val="20"/>
          <w:szCs w:val="20"/>
        </w:rPr>
        <w:t xml:space="preserve">, </w:t>
      </w:r>
      <w:r>
        <w:rPr>
          <w:bCs/>
          <w:kern w:val="0"/>
          <w:sz w:val="20"/>
          <w:szCs w:val="20"/>
        </w:rPr>
        <w:t>a new WID</w:t>
      </w:r>
      <w:r>
        <w:rPr>
          <w:rFonts w:hint="eastAsia"/>
          <w:bCs/>
          <w:kern w:val="0"/>
          <w:sz w:val="20"/>
          <w:szCs w:val="20"/>
        </w:rPr>
        <w:t>[1]</w:t>
      </w:r>
      <w:r>
        <w:rPr>
          <w:bCs/>
          <w:kern w:val="0"/>
          <w:sz w:val="20"/>
          <w:szCs w:val="20"/>
        </w:rPr>
        <w:t xml:space="preserve"> of </w:t>
      </w:r>
      <w:r>
        <w:rPr>
          <w:bCs/>
          <w:kern w:val="0"/>
          <w:sz w:val="20"/>
          <w:szCs w:val="20"/>
        </w:rPr>
        <w:t>Network energy savings for NR</w:t>
      </w:r>
      <w:r>
        <w:rPr>
          <w:bCs/>
          <w:kern w:val="0"/>
          <w:sz w:val="20"/>
          <w:szCs w:val="20"/>
        </w:rPr>
        <w:t xml:space="preserve"> has been agreed. And the </w:t>
      </w:r>
      <w:r>
        <w:rPr>
          <w:bCs/>
          <w:sz w:val="20"/>
          <w:szCs w:val="20"/>
        </w:rPr>
        <w:t>objective</w:t>
      </w:r>
      <w:r>
        <w:rPr>
          <w:bCs/>
          <w:sz w:val="20"/>
          <w:szCs w:val="20"/>
        </w:rPr>
        <w:t xml:space="preserve"> about </w:t>
      </w:r>
      <w:r>
        <w:rPr>
          <w:rFonts w:hint="eastAsia"/>
          <w:bCs/>
          <w:sz w:val="20"/>
          <w:szCs w:val="20"/>
        </w:rPr>
        <w:t>CHO enhancement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is</w:t>
      </w:r>
      <w:r>
        <w:rPr>
          <w:bCs/>
          <w:sz w:val="20"/>
          <w:szCs w:val="20"/>
        </w:rPr>
        <w:t xml:space="preserve"> the following:</w:t>
      </w:r>
    </w:p>
    <w:p w:rsidR="00E02AB5" w:rsidRDefault="0052129E">
      <w:pPr>
        <w:numPr>
          <w:ilvl w:val="0"/>
          <w:numId w:val="4"/>
        </w:numPr>
        <w:spacing w:beforeLines="50" w:before="156" w:afterLines="50" w:after="156" w:line="260" w:lineRule="auto"/>
        <w:ind w:left="629"/>
        <w:rPr>
          <w:bCs/>
          <w:sz w:val="20"/>
          <w:szCs w:val="20"/>
        </w:rPr>
      </w:pPr>
      <w:r>
        <w:rPr>
          <w:bCs/>
          <w:sz w:val="20"/>
          <w:szCs w:val="20"/>
        </w:rPr>
        <w:t>Specify CHO procedure enhancement(s) in case source/target cell is in NES mode [RAN2]</w:t>
      </w:r>
    </w:p>
    <w:p w:rsidR="00E02AB5" w:rsidRDefault="0052129E">
      <w:pPr>
        <w:spacing w:line="240" w:lineRule="auto"/>
        <w:rPr>
          <w:bCs/>
          <w:kern w:val="0"/>
          <w:sz w:val="20"/>
          <w:szCs w:val="20"/>
        </w:rPr>
      </w:pPr>
      <w:r>
        <w:rPr>
          <w:bCs/>
          <w:kern w:val="0"/>
          <w:sz w:val="20"/>
          <w:szCs w:val="20"/>
        </w:rPr>
        <w:t>I</w:t>
      </w:r>
      <w:r>
        <w:rPr>
          <w:bCs/>
          <w:kern w:val="0"/>
          <w:sz w:val="20"/>
          <w:szCs w:val="20"/>
        </w:rPr>
        <w:t xml:space="preserve">n this </w:t>
      </w:r>
      <w:r>
        <w:rPr>
          <w:bCs/>
          <w:kern w:val="0"/>
          <w:sz w:val="20"/>
          <w:szCs w:val="20"/>
        </w:rPr>
        <w:t>paper</w:t>
      </w:r>
      <w:r>
        <w:rPr>
          <w:bCs/>
          <w:kern w:val="0"/>
          <w:sz w:val="20"/>
          <w:szCs w:val="20"/>
        </w:rPr>
        <w:t>,</w:t>
      </w:r>
      <w:r>
        <w:rPr>
          <w:bCs/>
          <w:kern w:val="0"/>
          <w:sz w:val="20"/>
          <w:szCs w:val="20"/>
        </w:rPr>
        <w:t xml:space="preserve"> we</w:t>
      </w:r>
      <w:r>
        <w:rPr>
          <w:bCs/>
          <w:kern w:val="0"/>
          <w:sz w:val="20"/>
          <w:szCs w:val="20"/>
        </w:rPr>
        <w:t xml:space="preserve"> will</w:t>
      </w:r>
      <w:r>
        <w:rPr>
          <w:bCs/>
          <w:kern w:val="0"/>
          <w:sz w:val="20"/>
          <w:szCs w:val="20"/>
        </w:rPr>
        <w:t xml:space="preserve"> </w:t>
      </w:r>
      <w:r>
        <w:rPr>
          <w:bCs/>
          <w:kern w:val="0"/>
          <w:sz w:val="20"/>
          <w:szCs w:val="20"/>
        </w:rPr>
        <w:t xml:space="preserve">focus on the </w:t>
      </w:r>
      <w:r>
        <w:rPr>
          <w:rFonts w:hint="eastAsia"/>
          <w:bCs/>
          <w:sz w:val="20"/>
          <w:szCs w:val="20"/>
        </w:rPr>
        <w:t>CHO enhancement for NES</w:t>
      </w:r>
      <w:r>
        <w:rPr>
          <w:bCs/>
          <w:sz w:val="20"/>
          <w:szCs w:val="20"/>
        </w:rPr>
        <w:t>, and discuss the impact on RAN2 specification.</w:t>
      </w:r>
    </w:p>
    <w:p w:rsidR="00E02AB5" w:rsidRDefault="0052129E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eastAsia="宋体"/>
          <w:b w:val="0"/>
          <w:bCs w:val="0"/>
          <w:kern w:val="0"/>
          <w:sz w:val="32"/>
          <w:szCs w:val="36"/>
        </w:rPr>
      </w:pPr>
      <w:bookmarkStart w:id="2" w:name="_Toc12718547"/>
      <w:r>
        <w:rPr>
          <w:rFonts w:eastAsia="宋体"/>
          <w:b w:val="0"/>
          <w:bCs w:val="0"/>
          <w:kern w:val="0"/>
          <w:sz w:val="32"/>
          <w:szCs w:val="36"/>
        </w:rPr>
        <w:t>Discussion</w:t>
      </w:r>
    </w:p>
    <w:p w:rsidR="00E02AB5" w:rsidRDefault="0052129E">
      <w:pPr>
        <w:spacing w:before="120" w:after="120"/>
        <w:rPr>
          <w:sz w:val="20"/>
          <w:szCs w:val="20"/>
        </w:rPr>
      </w:pPr>
      <w:bookmarkStart w:id="3" w:name="OLE_LINK2"/>
      <w:r>
        <w:rPr>
          <w:rFonts w:hint="eastAsia"/>
          <w:sz w:val="20"/>
          <w:szCs w:val="20"/>
        </w:rPr>
        <w:t xml:space="preserve"> In RAN2#119B and RAN2#120 meeting, the agreements about mobility enhancements for NES are as below:</w:t>
      </w:r>
    </w:p>
    <w:p w:rsidR="00E02AB5" w:rsidRDefault="005212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Agreements</w:t>
      </w:r>
    </w:p>
    <w:p w:rsidR="00E02AB5" w:rsidRDefault="005212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uto"/>
        <w:rPr>
          <w:rFonts w:ascii="Times New Roman" w:hAnsi="Times New Roman"/>
        </w:rPr>
      </w:pPr>
      <w:r>
        <w:rPr>
          <w:rFonts w:ascii="Times New Roman" w:hAnsi="Times New Roman"/>
        </w:rPr>
        <w:t>=&gt;</w:t>
      </w:r>
      <w:r>
        <w:rPr>
          <w:rFonts w:ascii="Times New Roman" w:hAnsi="Times New Roman"/>
        </w:rPr>
        <w:tab/>
        <w:t xml:space="preserve">Scenario 1: UEs are HO’ed due </w:t>
      </w:r>
      <w:r>
        <w:rPr>
          <w:rFonts w:ascii="Times New Roman" w:hAnsi="Times New Roman"/>
        </w:rPr>
        <w:t>to switch of SOURCE cell to NES mode is considered for further study.  FFS whether any enhancements is needed.</w:t>
      </w:r>
    </w:p>
    <w:p w:rsidR="00E02AB5" w:rsidRDefault="005212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uto"/>
        <w:rPr>
          <w:rFonts w:ascii="Times New Roman" w:hAnsi="Times New Roman"/>
        </w:rPr>
      </w:pPr>
      <w:r>
        <w:rPr>
          <w:rFonts w:ascii="Times New Roman" w:hAnsi="Times New Roman"/>
        </w:rPr>
        <w:t>=&gt;</w:t>
      </w:r>
      <w:r>
        <w:rPr>
          <w:rFonts w:ascii="Times New Roman" w:hAnsi="Times New Roman"/>
        </w:rPr>
        <w:tab/>
        <w:t>FFS Scenario 2: UEs are HO’ed due to source link degradation, where TARGET cell is selected based on its mode of operation</w:t>
      </w:r>
    </w:p>
    <w:p w:rsidR="00E02AB5" w:rsidRDefault="005212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=&gt;</w:t>
      </w:r>
      <w:r>
        <w:rPr>
          <w:rFonts w:ascii="Times New Roman" w:hAnsi="Times New Roman"/>
        </w:rPr>
        <w:tab/>
        <w:t>As a first prior</w:t>
      </w:r>
      <w:r>
        <w:rPr>
          <w:rFonts w:ascii="Times New Roman" w:hAnsi="Times New Roman"/>
        </w:rPr>
        <w:t>ity, discussion on RAN2 group handover are confined to the CHO framework</w:t>
      </w:r>
    </w:p>
    <w:p w:rsidR="00E02AB5" w:rsidRDefault="005212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Agreements</w:t>
      </w:r>
    </w:p>
    <w:p w:rsidR="00E02AB5" w:rsidRDefault="0052129E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Capture the solution on enhancing the CHO framework (for faster offloading/onloading during cell deactivation/activation) enabling a evaluation of CHO conditions depending </w:t>
      </w:r>
      <w:r>
        <w:rPr>
          <w:rFonts w:ascii="Times New Roman" w:hAnsi="Times New Roman"/>
        </w:rPr>
        <w:t>on the NES state of the source/target cell. How to indicate to UE the triggering of the CHO evaluation is up to normative phase. Whenever mobility from source cell is trigg</w:t>
      </w:r>
      <w:r>
        <w:rPr>
          <w:rFonts w:ascii="Times New Roman" w:hAnsi="Times New Roman"/>
        </w:rPr>
        <w:t xml:space="preserve">ered, one could also consider how UE would not select NES cell if any other cell is </w:t>
      </w:r>
      <w:r>
        <w:rPr>
          <w:rFonts w:ascii="Times New Roman" w:hAnsi="Times New Roman"/>
        </w:rPr>
        <w:t>available when selecting the new cell. Corr</w:t>
      </w:r>
      <w:r>
        <w:rPr>
          <w:rFonts w:ascii="Times New Roman" w:hAnsi="Times New Roman"/>
        </w:rPr>
        <w:t>esponding TP for this is provided in the Annex</w:t>
      </w:r>
    </w:p>
    <w:p w:rsidR="00E02AB5" w:rsidRDefault="0052129E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uto"/>
        <w:rPr>
          <w:rFonts w:ascii="Times New Roman" w:hAnsi="Times New Roman"/>
        </w:rPr>
      </w:pPr>
      <w:r>
        <w:rPr>
          <w:rFonts w:ascii="Times New Roman" w:hAnsi="Times New Roman"/>
        </w:rPr>
        <w:t>RAN2 does not consider at this point group HO (optimizing R15 HO procedure).</w:t>
      </w:r>
    </w:p>
    <w:p w:rsidR="00E02AB5" w:rsidRDefault="0052129E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uto"/>
        <w:rPr>
          <w:rFonts w:ascii="Times New Roman" w:hAnsi="Times New Roman"/>
        </w:rPr>
      </w:pPr>
      <w:r>
        <w:rPr>
          <w:rFonts w:ascii="Times New Roman" w:hAnsi="Times New Roman"/>
        </w:rPr>
        <w:t>RAN2 does not consider at this point BWP adaptation with group signaling (no supporting p</w:t>
      </w:r>
      <w:r>
        <w:rPr>
          <w:rFonts w:ascii="Times New Roman" w:hAnsi="Times New Roman"/>
        </w:rPr>
        <w:t>apers in RAN2)</w:t>
      </w:r>
    </w:p>
    <w:p w:rsidR="00E02AB5" w:rsidRDefault="0052129E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uto"/>
        <w:rPr>
          <w:rFonts w:ascii="Times New Roman" w:hAnsi="Times New Roman"/>
        </w:rPr>
      </w:pPr>
      <w:r>
        <w:rPr>
          <w:rFonts w:ascii="Times New Roman" w:hAnsi="Times New Roman"/>
        </w:rPr>
        <w:t>From RAN2 perspective, CHO enhancements are feasible</w:t>
      </w:r>
    </w:p>
    <w:p w:rsidR="00E02AB5" w:rsidRDefault="0052129E">
      <w:pPr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Before discussing CHO enhancement, we should figure out the impact of NES mode of </w:t>
      </w:r>
      <w:r>
        <w:rPr>
          <w:sz w:val="20"/>
          <w:szCs w:val="20"/>
        </w:rPr>
        <w:t>the source/target cell</w:t>
      </w:r>
      <w:r>
        <w:rPr>
          <w:rFonts w:hint="eastAsia"/>
          <w:sz w:val="20"/>
          <w:szCs w:val="20"/>
        </w:rPr>
        <w:t xml:space="preserve"> on UE. From gNB perspective, there are two scenarios of NES mode:</w:t>
      </w:r>
    </w:p>
    <w:p w:rsidR="00E02AB5" w:rsidRDefault="0052129E">
      <w:pPr>
        <w:numPr>
          <w:ilvl w:val="0"/>
          <w:numId w:val="6"/>
        </w:numPr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>case 1: source ce</w:t>
      </w:r>
      <w:r>
        <w:rPr>
          <w:rFonts w:hint="eastAsia"/>
          <w:sz w:val="20"/>
          <w:szCs w:val="20"/>
        </w:rPr>
        <w:t xml:space="preserve">ll will be turned off, connection between source cell and UE will be lost. At the same time, target cell </w:t>
      </w:r>
      <w:r>
        <w:rPr>
          <w:rFonts w:hint="eastAsia"/>
          <w:sz w:val="20"/>
          <w:szCs w:val="20"/>
        </w:rPr>
        <w:lastRenderedPageBreak/>
        <w:t>could supply connection for UE.</w:t>
      </w:r>
    </w:p>
    <w:p w:rsidR="00E02AB5" w:rsidRDefault="0052129E">
      <w:pPr>
        <w:numPr>
          <w:ilvl w:val="0"/>
          <w:numId w:val="6"/>
        </w:numPr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>case 2: source cell will enable cell DTX/ DRX, the discontinuous transmission or reception would delay the transmission</w:t>
      </w:r>
      <w:r>
        <w:rPr>
          <w:rFonts w:hint="eastAsia"/>
          <w:sz w:val="20"/>
          <w:szCs w:val="20"/>
        </w:rPr>
        <w:t xml:space="preserve"> and decrease the user rate of UE. At the same time, target cell would supply better service quality for UE.</w:t>
      </w:r>
    </w:p>
    <w:p w:rsidR="00E02AB5" w:rsidRDefault="0052129E">
      <w:pPr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>For case 1, a handover is necessary. For case 2, considering that the purpose of handover is to seek better service quality, handover under this ca</w:t>
      </w:r>
      <w:r>
        <w:rPr>
          <w:rFonts w:hint="eastAsia"/>
          <w:sz w:val="20"/>
          <w:szCs w:val="20"/>
        </w:rPr>
        <w:t>se is beneficial for UE. And in the legacy handover, the RRC reconfiguration message should be sent to UEs almost simultaneously before source cell is turned off or enabling a DTX/DRX, but, CHO procedure could avoid the large signaling overhead caused by l</w:t>
      </w:r>
      <w:r>
        <w:rPr>
          <w:rFonts w:hint="eastAsia"/>
          <w:sz w:val="20"/>
          <w:szCs w:val="20"/>
        </w:rPr>
        <w:t xml:space="preserve">egacy handover. Hence, CHO under two cases should be considered. </w:t>
      </w:r>
    </w:p>
    <w:p w:rsidR="00E02AB5" w:rsidRDefault="0052129E">
      <w:pPr>
        <w:spacing w:before="120" w:after="120"/>
        <w:rPr>
          <w:b/>
          <w:bCs/>
          <w:sz w:val="20"/>
          <w:szCs w:val="20"/>
        </w:rPr>
      </w:pPr>
      <w:r>
        <w:rPr>
          <w:rFonts w:hint="eastAsia"/>
          <w:b/>
          <w:bCs/>
        </w:rPr>
        <w:t>Observation</w:t>
      </w:r>
      <w:r w:rsidR="00B92F5A"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1a: When </w:t>
      </w:r>
      <w:r>
        <w:rPr>
          <w:rFonts w:hint="eastAsia"/>
          <w:b/>
          <w:bCs/>
          <w:sz w:val="20"/>
          <w:szCs w:val="20"/>
        </w:rPr>
        <w:t>source cell will be turned off, CHO should be considered.</w:t>
      </w:r>
    </w:p>
    <w:p w:rsidR="00E02AB5" w:rsidRDefault="0052129E">
      <w:pPr>
        <w:spacing w:before="120" w:after="120"/>
        <w:rPr>
          <w:b/>
          <w:bCs/>
          <w:sz w:val="20"/>
          <w:szCs w:val="20"/>
        </w:rPr>
      </w:pPr>
      <w:r>
        <w:rPr>
          <w:rFonts w:hint="eastAsia"/>
          <w:b/>
          <w:bCs/>
        </w:rPr>
        <w:t>Observation</w:t>
      </w:r>
      <w:r w:rsidR="00B92F5A"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1b: When </w:t>
      </w:r>
      <w:r>
        <w:rPr>
          <w:rFonts w:hint="eastAsia"/>
          <w:b/>
          <w:bCs/>
          <w:sz w:val="20"/>
          <w:szCs w:val="20"/>
        </w:rPr>
        <w:t>source cell will enable cell DTX/ DRX, CHO should be considered.</w:t>
      </w:r>
    </w:p>
    <w:p w:rsidR="00E02AB5" w:rsidRDefault="0052129E">
      <w:pPr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>For case 1, handover should</w:t>
      </w:r>
      <w:r>
        <w:rPr>
          <w:rFonts w:hint="eastAsia"/>
          <w:sz w:val="20"/>
          <w:szCs w:val="20"/>
        </w:rPr>
        <w:t xml:space="preserve"> be finished before source cell is turned off, hence, the triggering condition is a time condition. In NTN, a time based </w:t>
      </w:r>
      <w:r>
        <w:rPr>
          <w:sz w:val="20"/>
          <w:szCs w:val="20"/>
        </w:rPr>
        <w:t>CHO triggering event</w:t>
      </w:r>
      <w:r>
        <w:rPr>
          <w:rFonts w:hint="eastAsia"/>
          <w:sz w:val="20"/>
          <w:szCs w:val="20"/>
        </w:rPr>
        <w:t xml:space="preserve"> is introduced as below: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7652"/>
      </w:tblGrid>
      <w:tr w:rsidR="00E02AB5">
        <w:trPr>
          <w:jc w:val="center"/>
        </w:trPr>
        <w:tc>
          <w:tcPr>
            <w:tcW w:w="7652" w:type="dxa"/>
          </w:tcPr>
          <w:p w:rsidR="00E02AB5" w:rsidRDefault="0052129E">
            <w:pPr>
              <w:spacing w:after="0" w:line="2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CondEvent T1 (Time measured at UE is within a duration from threshold)</w:t>
            </w:r>
          </w:p>
          <w:p w:rsidR="00E02AB5" w:rsidRDefault="0052129E">
            <w:pPr>
              <w:spacing w:after="0" w:line="260" w:lineRule="auto"/>
              <w:ind w:leftChars="100" w:left="21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ko-KR"/>
              </w:rPr>
              <w:t>Inequality</w:t>
            </w:r>
            <w:r>
              <w:rPr>
                <w:sz w:val="20"/>
                <w:szCs w:val="20"/>
              </w:rPr>
              <w:t xml:space="preserve"> T1-1 (Entering condition)</w:t>
            </w:r>
          </w:p>
          <w:p w:rsidR="00E02AB5" w:rsidRDefault="0052129E">
            <w:pPr>
              <w:keepLines/>
              <w:tabs>
                <w:tab w:val="center" w:pos="4536"/>
                <w:tab w:val="right" w:pos="9072"/>
              </w:tabs>
              <w:spacing w:after="0" w:line="260" w:lineRule="auto"/>
              <w:ind w:leftChars="300" w:left="630"/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  <w:sz w:val="20"/>
                    <w:szCs w:val="20"/>
                  </w:rPr>
                  <m:t>Mt</m:t>
                </m:r>
                <m:r>
                  <w:rPr>
                    <w:rFonts w:ascii="Cambria Math"/>
                    <w:sz w:val="20"/>
                    <w:szCs w:val="20"/>
                  </w:rPr>
                  <m:t>&gt;</m:t>
                </m:r>
                <m:r>
                  <w:rPr>
                    <w:rFonts w:ascii="Cambria Math"/>
                    <w:sz w:val="20"/>
                    <w:szCs w:val="20"/>
                  </w:rPr>
                  <m:t>T</m:t>
                </m:r>
                <m:r>
                  <w:rPr>
                    <w:rFonts w:ascii="Cambria Math"/>
                    <w:sz w:val="20"/>
                    <w:szCs w:val="20"/>
                  </w:rPr>
                  <m:t>h</m:t>
                </m:r>
                <m:r>
                  <w:rPr>
                    <w:rFonts w:ascii="Cambria Math"/>
                    <w:sz w:val="20"/>
                    <w:szCs w:val="20"/>
                  </w:rPr>
                  <m:t>res</m:t>
                </m:r>
                <m:r>
                  <w:rPr>
                    <w:rFonts w:ascii="Cambria Math"/>
                    <w:sz w:val="20"/>
                    <w:szCs w:val="20"/>
                  </w:rPr>
                  <m:t>h</m:t>
                </m:r>
                <m:r>
                  <w:rPr>
                    <w:rFonts w:ascii="Cambria Math"/>
                    <w:sz w:val="20"/>
                    <w:szCs w:val="20"/>
                  </w:rPr>
                  <m:t>1</m:t>
                </m:r>
              </m:oMath>
            </m:oMathPara>
          </w:p>
          <w:p w:rsidR="00E02AB5" w:rsidRDefault="0052129E">
            <w:pPr>
              <w:spacing w:after="0" w:line="260" w:lineRule="auto"/>
              <w:ind w:leftChars="100" w:left="21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ko-KR"/>
              </w:rPr>
              <w:t>Inequality</w:t>
            </w:r>
            <w:r>
              <w:rPr>
                <w:sz w:val="20"/>
                <w:szCs w:val="20"/>
              </w:rPr>
              <w:t xml:space="preserve"> T1-2 (Leaving condition)</w:t>
            </w:r>
          </w:p>
          <w:p w:rsidR="00E02AB5" w:rsidRDefault="0052129E">
            <w:pPr>
              <w:keepLines/>
              <w:tabs>
                <w:tab w:val="center" w:pos="4536"/>
                <w:tab w:val="right" w:pos="9072"/>
              </w:tabs>
              <w:spacing w:after="0" w:line="260" w:lineRule="auto"/>
              <w:ind w:leftChars="300" w:left="630"/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  <w:sz w:val="20"/>
                    <w:szCs w:val="20"/>
                  </w:rPr>
                  <m:t>Mt</m:t>
                </m:r>
                <m:r>
                  <w:rPr>
                    <w:rFonts w:ascii="Cambria Math"/>
                    <w:sz w:val="20"/>
                    <w:szCs w:val="20"/>
                  </w:rPr>
                  <m:t>&gt;</m:t>
                </m:r>
                <m:r>
                  <w:rPr>
                    <w:rFonts w:ascii="Cambria Math"/>
                    <w:sz w:val="20"/>
                    <w:szCs w:val="20"/>
                  </w:rPr>
                  <m:t>T</m:t>
                </m:r>
                <m:r>
                  <w:rPr>
                    <w:rFonts w:ascii="Cambria Math"/>
                    <w:sz w:val="20"/>
                    <w:szCs w:val="20"/>
                  </w:rPr>
                  <m:t>h</m:t>
                </m:r>
                <m:r>
                  <w:rPr>
                    <w:rFonts w:ascii="Cambria Math"/>
                    <w:sz w:val="20"/>
                    <w:szCs w:val="20"/>
                  </w:rPr>
                  <m:t>res</m:t>
                </m:r>
                <m:r>
                  <w:rPr>
                    <w:rFonts w:ascii="Cambria Math"/>
                    <w:sz w:val="20"/>
                    <w:szCs w:val="20"/>
                  </w:rPr>
                  <m:t>h</m:t>
                </m:r>
                <m:r>
                  <w:rPr>
                    <w:rFonts w:ascii="Cambria Math"/>
                    <w:sz w:val="20"/>
                    <w:szCs w:val="20"/>
                  </w:rPr>
                  <m:t>1+</m:t>
                </m:r>
                <m:r>
                  <w:rPr>
                    <w:rFonts w:ascii="Cambria Math"/>
                    <w:sz w:val="20"/>
                    <w:szCs w:val="20"/>
                  </w:rPr>
                  <m:t>Duration</m:t>
                </m:r>
              </m:oMath>
            </m:oMathPara>
          </w:p>
        </w:tc>
      </w:tr>
    </w:tbl>
    <w:p w:rsidR="00E02AB5" w:rsidRDefault="0052129E">
      <w:pPr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>For case 1, gNB could predict the load of source cell, estimate the time (e.g.</w:t>
      </w:r>
      <w:r>
        <w:rPr>
          <w:rFonts w:hint="eastAsia"/>
          <w:i/>
          <w:iCs/>
          <w:sz w:val="20"/>
          <w:szCs w:val="20"/>
        </w:rPr>
        <w:t>Thresh 1</w:t>
      </w:r>
      <w:r>
        <w:rPr>
          <w:rFonts w:hint="eastAsia"/>
          <w:sz w:val="20"/>
          <w:szCs w:val="20"/>
        </w:rPr>
        <w:t xml:space="preserve">) that source cell is turned off and then transmit a CHO command carrying </w:t>
      </w:r>
      <w:r>
        <w:rPr>
          <w:rFonts w:hint="eastAsia"/>
          <w:i/>
          <w:iCs/>
          <w:sz w:val="20"/>
          <w:szCs w:val="20"/>
        </w:rPr>
        <w:t>Thresh 1</w:t>
      </w:r>
      <w:r>
        <w:rPr>
          <w:rFonts w:hint="eastAsia"/>
          <w:sz w:val="20"/>
          <w:szCs w:val="20"/>
        </w:rPr>
        <w:t xml:space="preserve"> and </w:t>
      </w:r>
      <w:r>
        <w:rPr>
          <w:rFonts w:hint="eastAsia"/>
          <w:i/>
          <w:iCs/>
          <w:sz w:val="20"/>
          <w:szCs w:val="20"/>
        </w:rPr>
        <w:t>duration</w:t>
      </w:r>
      <w:r>
        <w:rPr>
          <w:rFonts w:hint="eastAsia"/>
          <w:sz w:val="20"/>
          <w:szCs w:val="20"/>
        </w:rPr>
        <w:t xml:space="preserve"> parameters to UE at advance.</w:t>
      </w:r>
      <w:r>
        <w:rPr>
          <w:rFonts w:hint="eastAsia"/>
          <w:sz w:val="20"/>
          <w:szCs w:val="20"/>
        </w:rPr>
        <w:t xml:space="preserve"> UE could search for a target cell where UE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s RSRP is highest, then, trigger a handover towards it after </w:t>
      </w:r>
      <w:r>
        <w:rPr>
          <w:rFonts w:hint="eastAsia"/>
          <w:i/>
          <w:iCs/>
          <w:sz w:val="20"/>
          <w:szCs w:val="20"/>
        </w:rPr>
        <w:t>Thresh 1</w:t>
      </w:r>
      <w:r>
        <w:rPr>
          <w:rFonts w:hint="eastAsia"/>
          <w:sz w:val="20"/>
          <w:szCs w:val="20"/>
        </w:rPr>
        <w:t>, and finish the ha</w:t>
      </w:r>
      <w:r>
        <w:rPr>
          <w:rFonts w:hint="eastAsia"/>
          <w:sz w:val="20"/>
          <w:szCs w:val="20"/>
        </w:rPr>
        <w:t xml:space="preserve">ndover before </w:t>
      </w:r>
      <w:r>
        <w:rPr>
          <w:rFonts w:hint="eastAsia"/>
          <w:i/>
          <w:iCs/>
          <w:sz w:val="20"/>
          <w:szCs w:val="20"/>
        </w:rPr>
        <w:t>Thresh 1+duration</w:t>
      </w:r>
      <w:r>
        <w:rPr>
          <w:rFonts w:hint="eastAsia"/>
          <w:sz w:val="20"/>
          <w:szCs w:val="20"/>
        </w:rPr>
        <w:t xml:space="preserve">. And the value range of duration is </w:t>
      </w:r>
      <w:r>
        <w:t>(1..6000)</w:t>
      </w:r>
      <w:r>
        <w:rPr>
          <w:rFonts w:hint="eastAsia"/>
        </w:rPr>
        <w:t xml:space="preserve">, it </w:t>
      </w:r>
      <w:r>
        <w:rPr>
          <w:rFonts w:hint="eastAsia"/>
          <w:sz w:val="20"/>
          <w:szCs w:val="20"/>
        </w:rPr>
        <w:t>could be configured as a small value for NES. As abo</w:t>
      </w:r>
      <w:r>
        <w:rPr>
          <w:rFonts w:hint="eastAsia"/>
          <w:sz w:val="20"/>
          <w:szCs w:val="20"/>
        </w:rPr>
        <w:t xml:space="preserve">ve, a time based </w:t>
      </w:r>
      <w:r>
        <w:rPr>
          <w:sz w:val="20"/>
          <w:szCs w:val="20"/>
        </w:rPr>
        <w:t>CHO triggering event</w:t>
      </w:r>
      <w:r>
        <w:rPr>
          <w:rFonts w:hint="eastAsia"/>
          <w:sz w:val="20"/>
          <w:szCs w:val="20"/>
        </w:rPr>
        <w:t xml:space="preserve"> could be used in CHO for NES.</w:t>
      </w:r>
    </w:p>
    <w:p w:rsidR="00E02AB5" w:rsidRDefault="0052129E">
      <w:pPr>
        <w:spacing w:before="120" w:after="120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Proposal 1: A time based </w:t>
      </w:r>
      <w:r>
        <w:rPr>
          <w:b/>
          <w:bCs/>
          <w:sz w:val="20"/>
          <w:szCs w:val="20"/>
        </w:rPr>
        <w:t>CHO triggering event</w:t>
      </w:r>
      <w:r>
        <w:rPr>
          <w:rFonts w:hint="eastAsia"/>
          <w:b/>
          <w:bCs/>
          <w:sz w:val="20"/>
          <w:szCs w:val="20"/>
        </w:rPr>
        <w:t xml:space="preserve"> could be</w:t>
      </w:r>
      <w:r>
        <w:rPr>
          <w:rFonts w:hint="eastAsia"/>
          <w:b/>
          <w:bCs/>
          <w:sz w:val="20"/>
          <w:szCs w:val="20"/>
        </w:rPr>
        <w:t xml:space="preserve"> used in CHO for NES.</w:t>
      </w:r>
    </w:p>
    <w:p w:rsidR="00E02AB5" w:rsidRDefault="0052129E">
      <w:pPr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>For case 2, handover should be triggered before the service quality is going to deteriorate obviously. In other words, if the enabled DTX/DRX in source cell could cause the large delay of transmission and discarded data for UE, a hand</w:t>
      </w:r>
      <w:r>
        <w:rPr>
          <w:rFonts w:hint="eastAsia"/>
          <w:sz w:val="20"/>
          <w:szCs w:val="20"/>
        </w:rPr>
        <w:t xml:space="preserve">over will be triggered. Firstly, a handover should be triggered before DTX/DRX takes effect, thus, a time based </w:t>
      </w:r>
      <w:r>
        <w:rPr>
          <w:sz w:val="20"/>
          <w:szCs w:val="20"/>
        </w:rPr>
        <w:t>CHO triggering event</w:t>
      </w:r>
      <w:r>
        <w:rPr>
          <w:rFonts w:hint="eastAsia"/>
          <w:sz w:val="20"/>
          <w:szCs w:val="20"/>
        </w:rPr>
        <w:t xml:space="preserve"> could be used. For example, </w:t>
      </w:r>
      <w:r>
        <w:rPr>
          <w:rFonts w:hint="eastAsia"/>
          <w:i/>
          <w:iCs/>
          <w:sz w:val="20"/>
          <w:szCs w:val="20"/>
        </w:rPr>
        <w:t>Thresh 1</w:t>
      </w:r>
      <w:r>
        <w:rPr>
          <w:rFonts w:hint="eastAsia"/>
          <w:sz w:val="20"/>
          <w:szCs w:val="20"/>
        </w:rPr>
        <w:t xml:space="preserve"> could be the time that </w:t>
      </w:r>
      <w:r>
        <w:rPr>
          <w:rFonts w:hint="eastAsia"/>
          <w:sz w:val="20"/>
          <w:szCs w:val="20"/>
        </w:rPr>
        <w:t xml:space="preserve">DTX/DRX takes effect. </w:t>
      </w:r>
    </w:p>
    <w:p w:rsidR="00E02AB5" w:rsidRDefault="0052129E">
      <w:pPr>
        <w:spacing w:before="120" w:after="120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Observation 2: A time based </w:t>
      </w:r>
      <w:r>
        <w:rPr>
          <w:b/>
          <w:bCs/>
          <w:sz w:val="20"/>
          <w:szCs w:val="20"/>
        </w:rPr>
        <w:t>CHO triggeri</w:t>
      </w:r>
      <w:r>
        <w:rPr>
          <w:b/>
          <w:bCs/>
          <w:sz w:val="20"/>
          <w:szCs w:val="20"/>
        </w:rPr>
        <w:t>ng event</w:t>
      </w:r>
      <w:r>
        <w:rPr>
          <w:rFonts w:hint="eastAsia"/>
          <w:b/>
          <w:bCs/>
          <w:sz w:val="20"/>
          <w:szCs w:val="20"/>
        </w:rPr>
        <w:t xml:space="preserve"> could be used for triggering handover before DTX/DRX in source cell cause the large delay of transmission.</w:t>
      </w:r>
    </w:p>
    <w:p w:rsidR="00E02AB5" w:rsidRDefault="0052129E">
      <w:pPr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>Moreover, if the source cell could cause the larger delay of transmission and the target cell could supply the lower delay of transmission a</w:t>
      </w:r>
      <w:r>
        <w:rPr>
          <w:rFonts w:hint="eastAsia"/>
          <w:sz w:val="20"/>
          <w:szCs w:val="20"/>
        </w:rPr>
        <w:t>nd satisfy the requirement of the delay budget, a handover to target cell is reasonable. The large delay of transmission could be expressed as the off duration of DTX/DRX period. If the off duration in source cell is higher than a threshold, the limitation</w:t>
      </w:r>
      <w:r>
        <w:rPr>
          <w:rFonts w:hint="eastAsia"/>
          <w:sz w:val="20"/>
          <w:szCs w:val="20"/>
        </w:rPr>
        <w:t xml:space="preserve"> of transmission and reception of UE is higher, and it is harder to satisfy the delay budget requirement for UE. Meanwhile, if the off duration in target cell is lower than a threshold, the limitation of transmission and reception of UE is lower, and it is</w:t>
      </w:r>
      <w:r>
        <w:rPr>
          <w:rFonts w:hint="eastAsia"/>
          <w:sz w:val="20"/>
          <w:szCs w:val="20"/>
        </w:rPr>
        <w:t xml:space="preserve"> easier to satisfy the delay budget requirement for UE. And the threshold could be determined by the the delay budget and transmission number of a PDU, it is up to gNB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implementation.</w:t>
      </w:r>
    </w:p>
    <w:p w:rsidR="00E02AB5" w:rsidRDefault="0052129E">
      <w:pPr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As above, a new triggering condition based on off duration of DTX/DRX </w:t>
      </w:r>
      <w:r>
        <w:rPr>
          <w:rFonts w:hint="eastAsia"/>
          <w:sz w:val="20"/>
          <w:szCs w:val="20"/>
        </w:rPr>
        <w:t>could be introduced for CHO for NES.</w:t>
      </w:r>
    </w:p>
    <w:p w:rsidR="00E02AB5" w:rsidRDefault="0052129E">
      <w:pPr>
        <w:spacing w:before="120" w:after="120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lastRenderedPageBreak/>
        <w:t>Proposal 2: A new triggering condition based on off duration of DTX/DRX could be introduced for CHO for NES.</w:t>
      </w:r>
    </w:p>
    <w:p w:rsidR="00E02AB5" w:rsidRDefault="0052129E">
      <w:pPr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>Finally, the triggering event could be expressed as below:</w:t>
      </w:r>
    </w:p>
    <w:p w:rsidR="00E02AB5" w:rsidRDefault="0052129E">
      <w:pPr>
        <w:spacing w:after="0" w:line="260" w:lineRule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CondEvent </w:t>
      </w:r>
      <w:r>
        <w:rPr>
          <w:rFonts w:hint="eastAsia"/>
          <w:i/>
          <w:iCs/>
          <w:sz w:val="20"/>
          <w:szCs w:val="20"/>
        </w:rPr>
        <w:t>X</w:t>
      </w:r>
    </w:p>
    <w:p w:rsidR="00E02AB5" w:rsidRDefault="0052129E">
      <w:pPr>
        <w:spacing w:after="0" w:line="260" w:lineRule="auto"/>
        <w:ind w:leftChars="100" w:left="21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  <w:lang w:eastAsia="ko-KR"/>
        </w:rPr>
        <w:t>Inequality</w:t>
      </w:r>
      <w:r>
        <w:rPr>
          <w:i/>
          <w:iCs/>
          <w:sz w:val="20"/>
          <w:szCs w:val="20"/>
        </w:rPr>
        <w:t xml:space="preserve"> </w:t>
      </w:r>
      <w:r>
        <w:rPr>
          <w:rFonts w:hint="eastAsia"/>
          <w:i/>
          <w:iCs/>
          <w:sz w:val="20"/>
          <w:szCs w:val="20"/>
        </w:rPr>
        <w:t>X</w:t>
      </w:r>
      <w:r>
        <w:rPr>
          <w:i/>
          <w:iCs/>
          <w:sz w:val="20"/>
          <w:szCs w:val="20"/>
        </w:rPr>
        <w:t>-1 (Entering condition</w:t>
      </w:r>
      <w:r>
        <w:rPr>
          <w:rFonts w:hint="eastAsia"/>
          <w:i/>
          <w:iCs/>
          <w:sz w:val="20"/>
          <w:szCs w:val="20"/>
        </w:rPr>
        <w:t>1</w:t>
      </w:r>
      <w:r>
        <w:rPr>
          <w:i/>
          <w:iCs/>
          <w:sz w:val="20"/>
          <w:szCs w:val="20"/>
        </w:rPr>
        <w:t>)</w:t>
      </w:r>
    </w:p>
    <w:p w:rsidR="00E02AB5" w:rsidRDefault="0052129E">
      <w:pPr>
        <w:spacing w:after="0" w:line="260" w:lineRule="auto"/>
        <w:ind w:leftChars="100" w:left="210" w:firstLine="418"/>
        <w:rPr>
          <w:i/>
          <w:iCs/>
          <w:sz w:val="20"/>
          <w:szCs w:val="20"/>
        </w:rPr>
      </w:pPr>
      <w:r>
        <w:rPr>
          <w:rFonts w:hint="eastAsia"/>
          <w:i/>
          <w:iCs/>
          <w:sz w:val="20"/>
          <w:szCs w:val="20"/>
        </w:rPr>
        <w:t>off duration_s &gt; threshold1</w:t>
      </w:r>
    </w:p>
    <w:p w:rsidR="00E02AB5" w:rsidRDefault="0052129E">
      <w:pPr>
        <w:spacing w:after="0" w:line="260" w:lineRule="auto"/>
        <w:ind w:leftChars="100" w:left="21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  <w:lang w:eastAsia="ko-KR"/>
        </w:rPr>
        <w:t>Inequality</w:t>
      </w:r>
      <w:r>
        <w:rPr>
          <w:i/>
          <w:iCs/>
          <w:sz w:val="20"/>
          <w:szCs w:val="20"/>
        </w:rPr>
        <w:t xml:space="preserve"> </w:t>
      </w:r>
      <w:r>
        <w:rPr>
          <w:rFonts w:hint="eastAsia"/>
          <w:i/>
          <w:iCs/>
          <w:sz w:val="20"/>
          <w:szCs w:val="20"/>
        </w:rPr>
        <w:t>X</w:t>
      </w:r>
      <w:r>
        <w:rPr>
          <w:i/>
          <w:iCs/>
          <w:sz w:val="20"/>
          <w:szCs w:val="20"/>
        </w:rPr>
        <w:t>-</w:t>
      </w:r>
      <w:r>
        <w:rPr>
          <w:rFonts w:hint="eastAsia"/>
          <w:i/>
          <w:iCs/>
          <w:sz w:val="20"/>
          <w:szCs w:val="20"/>
        </w:rPr>
        <w:t>2</w:t>
      </w:r>
      <w:r>
        <w:rPr>
          <w:i/>
          <w:iCs/>
          <w:sz w:val="20"/>
          <w:szCs w:val="20"/>
        </w:rPr>
        <w:t xml:space="preserve"> (Entering condition</w:t>
      </w:r>
      <w:r>
        <w:rPr>
          <w:rFonts w:hint="eastAsia"/>
          <w:i/>
          <w:iCs/>
          <w:sz w:val="20"/>
          <w:szCs w:val="20"/>
        </w:rPr>
        <w:t>2</w:t>
      </w:r>
      <w:r>
        <w:rPr>
          <w:i/>
          <w:iCs/>
          <w:sz w:val="20"/>
          <w:szCs w:val="20"/>
        </w:rPr>
        <w:t>)</w:t>
      </w:r>
    </w:p>
    <w:p w:rsidR="00E02AB5" w:rsidRDefault="0052129E">
      <w:pPr>
        <w:spacing w:after="0" w:line="260" w:lineRule="auto"/>
        <w:ind w:leftChars="100" w:left="210" w:firstLine="418"/>
        <w:rPr>
          <w:i/>
          <w:iCs/>
          <w:sz w:val="20"/>
          <w:szCs w:val="20"/>
        </w:rPr>
      </w:pPr>
      <w:r>
        <w:rPr>
          <w:rFonts w:hint="eastAsia"/>
          <w:i/>
          <w:iCs/>
          <w:sz w:val="20"/>
          <w:szCs w:val="20"/>
        </w:rPr>
        <w:t>off duration_t &lt; threshold2</w:t>
      </w:r>
    </w:p>
    <w:p w:rsidR="00E02AB5" w:rsidRDefault="0052129E">
      <w:pPr>
        <w:spacing w:before="120" w:after="120"/>
      </w:pPr>
      <w:r>
        <w:rPr>
          <w:rFonts w:hint="eastAsia"/>
        </w:rPr>
        <w:t xml:space="preserve">where, </w:t>
      </w:r>
      <w:r>
        <w:rPr>
          <w:rFonts w:hint="eastAsia"/>
          <w:i/>
          <w:iCs/>
          <w:sz w:val="20"/>
          <w:szCs w:val="20"/>
        </w:rPr>
        <w:t>off duration_s</w:t>
      </w:r>
      <w:r>
        <w:rPr>
          <w:b/>
          <w:i/>
        </w:rPr>
        <w:t xml:space="preserve"> </w:t>
      </w:r>
      <w:r>
        <w:t>is</w:t>
      </w:r>
      <w:r>
        <w:rPr>
          <w:rFonts w:hint="eastAsia"/>
        </w:rPr>
        <w:t xml:space="preserve"> off duration of DTX/DRX configuration</w:t>
      </w:r>
      <w:r>
        <w:t xml:space="preserve"> </w:t>
      </w:r>
      <w:r>
        <w:rPr>
          <w:rFonts w:hint="eastAsia"/>
        </w:rPr>
        <w:t>in</w:t>
      </w:r>
      <w:r>
        <w:t xml:space="preserve"> the NR </w:t>
      </w:r>
      <w:r>
        <w:rPr>
          <w:rFonts w:hint="eastAsia"/>
        </w:rPr>
        <w:t>P</w:t>
      </w:r>
      <w:r>
        <w:t xml:space="preserve">Cell, </w:t>
      </w:r>
      <w:r>
        <w:rPr>
          <w:rFonts w:hint="eastAsia"/>
          <w:i/>
          <w:iCs/>
          <w:sz w:val="20"/>
          <w:szCs w:val="20"/>
        </w:rPr>
        <w:t>off duration_t</w:t>
      </w:r>
      <w:r>
        <w:rPr>
          <w:b/>
          <w:i/>
        </w:rPr>
        <w:t xml:space="preserve"> </w:t>
      </w:r>
      <w:r>
        <w:t>is</w:t>
      </w:r>
      <w:r>
        <w:rPr>
          <w:rFonts w:hint="eastAsia"/>
        </w:rPr>
        <w:t xml:space="preserve"> off duration of DTX/DRX configuration</w:t>
      </w:r>
      <w:r>
        <w:t xml:space="preserve"> </w:t>
      </w:r>
      <w:r>
        <w:rPr>
          <w:rFonts w:hint="eastAsia"/>
        </w:rPr>
        <w:t>in</w:t>
      </w:r>
      <w:r>
        <w:t xml:space="preserve"> the </w:t>
      </w:r>
      <w:r>
        <w:rPr>
          <w:rFonts w:hint="eastAsia"/>
        </w:rPr>
        <w:t xml:space="preserve">neighbour </w:t>
      </w:r>
      <w:r>
        <w:t>Cell.</w:t>
      </w:r>
      <w:r>
        <w:rPr>
          <w:rFonts w:hint="eastAsia"/>
        </w:rPr>
        <w:t xml:space="preserve"> If t</w:t>
      </w:r>
      <w:r>
        <w:rPr>
          <w:rFonts w:hint="eastAsia"/>
        </w:rPr>
        <w:t>he neighbor cell doesn</w:t>
      </w:r>
      <w:r>
        <w:t>’</w:t>
      </w:r>
      <w:r>
        <w:rPr>
          <w:rFonts w:hint="eastAsia"/>
        </w:rPr>
        <w:t xml:space="preserve">t enable a DTX/DRX, </w:t>
      </w:r>
      <w:r>
        <w:rPr>
          <w:rFonts w:hint="eastAsia"/>
          <w:i/>
          <w:iCs/>
          <w:sz w:val="20"/>
          <w:szCs w:val="20"/>
        </w:rPr>
        <w:t>off duration_t</w:t>
      </w:r>
      <w:r>
        <w:rPr>
          <w:rFonts w:hint="eastAsia"/>
          <w:sz w:val="20"/>
          <w:szCs w:val="20"/>
        </w:rPr>
        <w:t xml:space="preserve"> could be considered as 0.</w:t>
      </w:r>
    </w:p>
    <w:p w:rsidR="00E02AB5" w:rsidRDefault="0052129E">
      <w:pPr>
        <w:spacing w:before="120" w:after="120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Proposal 3: When </w:t>
      </w:r>
      <w:r>
        <w:rPr>
          <w:rFonts w:hint="eastAsia"/>
          <w:b/>
          <w:bCs/>
        </w:rPr>
        <w:t>off duration of DTX/DRX configuration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in</w:t>
      </w:r>
      <w:r>
        <w:rPr>
          <w:b/>
          <w:bCs/>
        </w:rPr>
        <w:t xml:space="preserve"> the NR </w:t>
      </w:r>
      <w:r>
        <w:rPr>
          <w:rFonts w:hint="eastAsia"/>
          <w:b/>
          <w:bCs/>
        </w:rPr>
        <w:t>P</w:t>
      </w:r>
      <w:r>
        <w:rPr>
          <w:b/>
          <w:bCs/>
        </w:rPr>
        <w:t>Cell</w:t>
      </w:r>
      <w:r>
        <w:rPr>
          <w:rFonts w:hint="eastAsia"/>
          <w:b/>
          <w:bCs/>
        </w:rPr>
        <w:t xml:space="preserve"> is higher than threshold1 and off duration of DTX/DRX configuration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in</w:t>
      </w:r>
      <w:r>
        <w:rPr>
          <w:b/>
          <w:bCs/>
        </w:rPr>
        <w:t xml:space="preserve"> the </w:t>
      </w:r>
      <w:r>
        <w:rPr>
          <w:rFonts w:hint="eastAsia"/>
          <w:b/>
          <w:bCs/>
        </w:rPr>
        <w:t xml:space="preserve">neighbour </w:t>
      </w:r>
      <w:r>
        <w:rPr>
          <w:b/>
          <w:bCs/>
        </w:rPr>
        <w:t>Cell</w:t>
      </w:r>
      <w:r>
        <w:rPr>
          <w:rFonts w:hint="eastAsia"/>
          <w:b/>
          <w:bCs/>
        </w:rPr>
        <w:t xml:space="preserve"> is lower than </w:t>
      </w:r>
      <w:r>
        <w:rPr>
          <w:b/>
          <w:bCs/>
        </w:rPr>
        <w:t>threshold</w:t>
      </w:r>
      <w:r>
        <w:rPr>
          <w:rFonts w:hint="eastAsia"/>
          <w:b/>
          <w:bCs/>
        </w:rPr>
        <w:t>2, a handover is triggered.</w:t>
      </w:r>
    </w:p>
    <w:bookmarkEnd w:id="2"/>
    <w:bookmarkEnd w:id="3"/>
    <w:p w:rsidR="00E02AB5" w:rsidRDefault="0052129E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Conclusion and proposals</w:t>
      </w:r>
    </w:p>
    <w:p w:rsidR="00E02AB5" w:rsidRDefault="0052129E">
      <w:pPr>
        <w:rPr>
          <w:bCs/>
          <w:kern w:val="0"/>
          <w:sz w:val="20"/>
          <w:szCs w:val="20"/>
        </w:rPr>
      </w:pPr>
      <w:r>
        <w:rPr>
          <w:bCs/>
          <w:kern w:val="0"/>
          <w:sz w:val="20"/>
          <w:szCs w:val="20"/>
        </w:rPr>
        <w:t xml:space="preserve">Based on the analysis in previous sections, the following observations and proposals are given: </w:t>
      </w:r>
    </w:p>
    <w:p w:rsidR="00E02AB5" w:rsidRDefault="0052129E">
      <w:pPr>
        <w:spacing w:before="120" w:after="120"/>
        <w:rPr>
          <w:i/>
          <w:iCs/>
          <w:sz w:val="20"/>
          <w:szCs w:val="20"/>
        </w:rPr>
      </w:pPr>
      <w:r>
        <w:rPr>
          <w:rFonts w:hint="eastAsia"/>
          <w:i/>
          <w:iCs/>
        </w:rPr>
        <w:t>Observation</w:t>
      </w:r>
      <w:r w:rsidR="00B92F5A">
        <w:rPr>
          <w:i/>
          <w:iCs/>
        </w:rPr>
        <w:t xml:space="preserve"> </w:t>
      </w:r>
      <w:r>
        <w:rPr>
          <w:rFonts w:hint="eastAsia"/>
          <w:i/>
          <w:iCs/>
        </w:rPr>
        <w:t xml:space="preserve">1a: When </w:t>
      </w:r>
      <w:r>
        <w:rPr>
          <w:rFonts w:hint="eastAsia"/>
          <w:i/>
          <w:iCs/>
          <w:sz w:val="20"/>
          <w:szCs w:val="20"/>
        </w:rPr>
        <w:t>source cell will be turned off, CHO should be considered.</w:t>
      </w:r>
    </w:p>
    <w:p w:rsidR="00E02AB5" w:rsidRDefault="0052129E">
      <w:pPr>
        <w:spacing w:before="120" w:after="120"/>
        <w:rPr>
          <w:i/>
          <w:iCs/>
          <w:sz w:val="20"/>
          <w:szCs w:val="20"/>
        </w:rPr>
      </w:pPr>
      <w:r>
        <w:rPr>
          <w:rFonts w:hint="eastAsia"/>
          <w:i/>
          <w:iCs/>
        </w:rPr>
        <w:t>Obse</w:t>
      </w:r>
      <w:r>
        <w:rPr>
          <w:rFonts w:hint="eastAsia"/>
          <w:i/>
          <w:iCs/>
        </w:rPr>
        <w:t>rvation</w:t>
      </w:r>
      <w:r w:rsidR="00B92F5A">
        <w:rPr>
          <w:i/>
          <w:iCs/>
        </w:rPr>
        <w:t xml:space="preserve"> </w:t>
      </w:r>
      <w:r>
        <w:rPr>
          <w:rFonts w:hint="eastAsia"/>
          <w:i/>
          <w:iCs/>
        </w:rPr>
        <w:t xml:space="preserve">1b: When </w:t>
      </w:r>
      <w:r>
        <w:rPr>
          <w:rFonts w:hint="eastAsia"/>
          <w:i/>
          <w:iCs/>
          <w:sz w:val="20"/>
          <w:szCs w:val="20"/>
        </w:rPr>
        <w:t>source cell will enable cell DTX/ DRX, CHO should be considered.</w:t>
      </w:r>
    </w:p>
    <w:p w:rsidR="00E02AB5" w:rsidRDefault="0052129E">
      <w:pPr>
        <w:spacing w:before="120" w:after="120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Proposal 1: A time based </w:t>
      </w:r>
      <w:r>
        <w:rPr>
          <w:b/>
          <w:bCs/>
          <w:sz w:val="20"/>
          <w:szCs w:val="20"/>
        </w:rPr>
        <w:t>CHO triggering event</w:t>
      </w:r>
      <w:r>
        <w:rPr>
          <w:rFonts w:hint="eastAsia"/>
          <w:b/>
          <w:bCs/>
          <w:sz w:val="20"/>
          <w:szCs w:val="20"/>
        </w:rPr>
        <w:t xml:space="preserve"> could be used in CHO for NES.</w:t>
      </w:r>
    </w:p>
    <w:p w:rsidR="00E02AB5" w:rsidRDefault="0052129E">
      <w:pPr>
        <w:spacing w:before="120" w:after="120"/>
        <w:rPr>
          <w:i/>
          <w:iCs/>
          <w:sz w:val="20"/>
          <w:szCs w:val="20"/>
        </w:rPr>
      </w:pPr>
      <w:r>
        <w:rPr>
          <w:rFonts w:hint="eastAsia"/>
          <w:i/>
          <w:iCs/>
          <w:sz w:val="20"/>
          <w:szCs w:val="20"/>
        </w:rPr>
        <w:t xml:space="preserve">Observation 2: A time based </w:t>
      </w:r>
      <w:r>
        <w:rPr>
          <w:i/>
          <w:iCs/>
          <w:sz w:val="20"/>
          <w:szCs w:val="20"/>
        </w:rPr>
        <w:t>CHO triggering event</w:t>
      </w:r>
      <w:r>
        <w:rPr>
          <w:rFonts w:hint="eastAsia"/>
          <w:i/>
          <w:iCs/>
          <w:sz w:val="20"/>
          <w:szCs w:val="20"/>
        </w:rPr>
        <w:t xml:space="preserve"> could be used for triggering handover before DTX/DRX in source cell cause the large delay of transmission.</w:t>
      </w:r>
    </w:p>
    <w:p w:rsidR="00E02AB5" w:rsidRDefault="0052129E">
      <w:pPr>
        <w:spacing w:before="120" w:after="120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Proposal 2: A new triggering condition based on off duration of DTX/DRX could be introduced for CHO for NES.</w:t>
      </w:r>
    </w:p>
    <w:p w:rsidR="00E02AB5" w:rsidRDefault="0052129E">
      <w:pPr>
        <w:spacing w:before="120" w:after="120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Proposal 3: When </w:t>
      </w:r>
      <w:r>
        <w:rPr>
          <w:rFonts w:hint="eastAsia"/>
          <w:b/>
          <w:bCs/>
        </w:rPr>
        <w:t>off duration of DTX/DR</w:t>
      </w:r>
      <w:r>
        <w:rPr>
          <w:rFonts w:hint="eastAsia"/>
          <w:b/>
          <w:bCs/>
        </w:rPr>
        <w:t>X configuration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in</w:t>
      </w:r>
      <w:r>
        <w:rPr>
          <w:b/>
          <w:bCs/>
        </w:rPr>
        <w:t xml:space="preserve"> the NR </w:t>
      </w:r>
      <w:r>
        <w:rPr>
          <w:rFonts w:hint="eastAsia"/>
          <w:b/>
          <w:bCs/>
        </w:rPr>
        <w:t>P</w:t>
      </w:r>
      <w:r>
        <w:rPr>
          <w:b/>
          <w:bCs/>
        </w:rPr>
        <w:t>Cell</w:t>
      </w:r>
      <w:r>
        <w:rPr>
          <w:rFonts w:hint="eastAsia"/>
          <w:b/>
          <w:bCs/>
        </w:rPr>
        <w:t xml:space="preserve"> is higher than threshold1 and off duration of DTX/DRX configuration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in</w:t>
      </w:r>
      <w:r>
        <w:rPr>
          <w:b/>
          <w:bCs/>
        </w:rPr>
        <w:t xml:space="preserve"> the </w:t>
      </w:r>
      <w:r>
        <w:rPr>
          <w:rFonts w:hint="eastAsia"/>
          <w:b/>
          <w:bCs/>
        </w:rPr>
        <w:t xml:space="preserve">neighbour </w:t>
      </w:r>
      <w:r>
        <w:rPr>
          <w:b/>
          <w:bCs/>
        </w:rPr>
        <w:t>Cell</w:t>
      </w:r>
      <w:r>
        <w:rPr>
          <w:rFonts w:hint="eastAsia"/>
          <w:b/>
          <w:bCs/>
        </w:rPr>
        <w:t xml:space="preserve"> is lower than </w:t>
      </w:r>
      <w:r>
        <w:rPr>
          <w:b/>
          <w:bCs/>
        </w:rPr>
        <w:t>threshold</w:t>
      </w:r>
      <w:r>
        <w:rPr>
          <w:rFonts w:hint="eastAsia"/>
          <w:b/>
          <w:bCs/>
        </w:rPr>
        <w:t>2, a handover is triggered.</w:t>
      </w:r>
    </w:p>
    <w:p w:rsidR="00E02AB5" w:rsidRDefault="0052129E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References</w:t>
      </w:r>
    </w:p>
    <w:p w:rsidR="00E02AB5" w:rsidRDefault="0052129E">
      <w:pPr>
        <w:pStyle w:val="Doc-title"/>
        <w:rPr>
          <w:rFonts w:ascii="Times New Roman" w:hAnsi="Times New Roman"/>
        </w:rPr>
      </w:pPr>
      <w:r>
        <w:rPr>
          <w:rFonts w:ascii="Times New Roman" w:hAnsi="Times New Roman"/>
        </w:rPr>
        <w:t>[1] RP-223540</w:t>
      </w:r>
      <w:r>
        <w:rPr>
          <w:rFonts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</w:rPr>
        <w:t>New WID proposal: Network energy savings for NR</w:t>
      </w:r>
    </w:p>
    <w:p w:rsidR="00E02AB5" w:rsidRDefault="0052129E">
      <w:pPr>
        <w:pStyle w:val="Doc-title"/>
        <w:rPr>
          <w:rFonts w:ascii="Times New Roman" w:hAnsi="Times New Roman"/>
        </w:rPr>
      </w:pPr>
      <w:r w:rsidRPr="00096228">
        <w:rPr>
          <w:rFonts w:ascii="Times New Roman" w:hAnsi="Times New Roman"/>
        </w:rPr>
        <w:t>[2]</w:t>
      </w:r>
      <w:r w:rsidRPr="00096228">
        <w:rPr>
          <w:rFonts w:ascii="Times New Roman" w:hAnsi="Times New Roman"/>
        </w:rPr>
        <w:t xml:space="preserve"> </w:t>
      </w:r>
      <w:hyperlink r:id="rId8" w:history="1">
        <w:r w:rsidRPr="00096228">
          <w:rPr>
            <w:rFonts w:ascii="Times New Roman" w:hAnsi="Times New Roman"/>
          </w:rPr>
          <w:t>R2-2210995</w:t>
        </w:r>
      </w:hyperlink>
      <w:r w:rsidRPr="0009622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Report of [Offline-302][NES] Cell Selection/Reselection and SSB/SIB-less (Huawei)</w:t>
      </w:r>
    </w:p>
    <w:p w:rsidR="00E02AB5" w:rsidRDefault="00E02AB5">
      <w:pPr>
        <w:rPr>
          <w:rFonts w:ascii="Arial" w:hAnsi="Arial" w:cs="Arial"/>
          <w:bCs/>
          <w:kern w:val="0"/>
          <w:sz w:val="20"/>
          <w:szCs w:val="20"/>
        </w:rPr>
      </w:pPr>
      <w:bookmarkStart w:id="4" w:name="_GoBack"/>
      <w:bookmarkEnd w:id="4"/>
    </w:p>
    <w:sectPr w:rsidR="00E02A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29E" w:rsidRDefault="0052129E">
      <w:pPr>
        <w:spacing w:line="240" w:lineRule="auto"/>
      </w:pPr>
      <w:r>
        <w:separator/>
      </w:r>
    </w:p>
  </w:endnote>
  <w:endnote w:type="continuationSeparator" w:id="0">
    <w:p w:rsidR="0052129E" w:rsidRDefault="005212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AB5" w:rsidRDefault="0052129E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E02AB5" w:rsidRDefault="00E02AB5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AB5" w:rsidRDefault="00E02AB5">
    <w:pPr>
      <w:pStyle w:val="ad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F5A" w:rsidRDefault="00B92F5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29E" w:rsidRDefault="0052129E">
      <w:pPr>
        <w:spacing w:line="240" w:lineRule="auto"/>
      </w:pPr>
      <w:r>
        <w:separator/>
      </w:r>
    </w:p>
  </w:footnote>
  <w:footnote w:type="continuationSeparator" w:id="0">
    <w:p w:rsidR="0052129E" w:rsidRDefault="005212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F5A" w:rsidRDefault="00B92F5A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AB5" w:rsidRDefault="00E02AB5">
    <w:pPr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F5A" w:rsidRDefault="00B92F5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BBE9389"/>
    <w:multiLevelType w:val="singleLevel"/>
    <w:tmpl w:val="DBBE9389"/>
    <w:lvl w:ilvl="0">
      <w:start w:val="5"/>
      <w:numFmt w:val="decimal"/>
      <w:suff w:val="space"/>
      <w:lvlText w:val="%1.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0FD1848"/>
    <w:multiLevelType w:val="multilevel"/>
    <w:tmpl w:val="00FD1848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D897FA"/>
    <w:multiLevelType w:val="singleLevel"/>
    <w:tmpl w:val="76D897F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ED06BB"/>
    <w:rsid w:val="99CDE1DF"/>
    <w:rsid w:val="9BB79EBA"/>
    <w:rsid w:val="9E9D52CC"/>
    <w:rsid w:val="9FCD3CF0"/>
    <w:rsid w:val="AAED6AB5"/>
    <w:rsid w:val="AF9EDE6A"/>
    <w:rsid w:val="BB875C30"/>
    <w:rsid w:val="BCF62951"/>
    <w:rsid w:val="BDD7A583"/>
    <w:rsid w:val="BDE75687"/>
    <w:rsid w:val="BDEBCED3"/>
    <w:rsid w:val="BEB6CAF7"/>
    <w:rsid w:val="BEFFB0E6"/>
    <w:rsid w:val="BFFBBEA5"/>
    <w:rsid w:val="BFFF72CF"/>
    <w:rsid w:val="BFFF780F"/>
    <w:rsid w:val="C7DFB4AC"/>
    <w:rsid w:val="CCBB15ED"/>
    <w:rsid w:val="CE9E67C7"/>
    <w:rsid w:val="CEAFB2B9"/>
    <w:rsid w:val="CF15396B"/>
    <w:rsid w:val="CFAE86B2"/>
    <w:rsid w:val="CFF63241"/>
    <w:rsid w:val="D43706DF"/>
    <w:rsid w:val="D5FB3F0D"/>
    <w:rsid w:val="D6F90836"/>
    <w:rsid w:val="D9F29C34"/>
    <w:rsid w:val="DBEFA409"/>
    <w:rsid w:val="DF4BD684"/>
    <w:rsid w:val="DF5F4E36"/>
    <w:rsid w:val="DF7EA1A9"/>
    <w:rsid w:val="E73E872A"/>
    <w:rsid w:val="E7B7B2AA"/>
    <w:rsid w:val="E9F7523A"/>
    <w:rsid w:val="EADA87C7"/>
    <w:rsid w:val="EB74BAEB"/>
    <w:rsid w:val="EBFF0E38"/>
    <w:rsid w:val="EFA5A644"/>
    <w:rsid w:val="EFAF261F"/>
    <w:rsid w:val="EFDB372A"/>
    <w:rsid w:val="EFEF7F37"/>
    <w:rsid w:val="EFEFB73E"/>
    <w:rsid w:val="EFFC0D7A"/>
    <w:rsid w:val="EFFFDB88"/>
    <w:rsid w:val="F4A7C83E"/>
    <w:rsid w:val="F559E748"/>
    <w:rsid w:val="F5F3635E"/>
    <w:rsid w:val="F6FF788E"/>
    <w:rsid w:val="F777AA4D"/>
    <w:rsid w:val="F7BECF00"/>
    <w:rsid w:val="F8E92CAC"/>
    <w:rsid w:val="F8FF8E3B"/>
    <w:rsid w:val="FB8B8BB5"/>
    <w:rsid w:val="FB8FCA06"/>
    <w:rsid w:val="FBAF7EA2"/>
    <w:rsid w:val="FBDD3625"/>
    <w:rsid w:val="FBDE4F90"/>
    <w:rsid w:val="FBF973D7"/>
    <w:rsid w:val="FC7B360C"/>
    <w:rsid w:val="FD3F8AAB"/>
    <w:rsid w:val="FDF927ED"/>
    <w:rsid w:val="FDF98A7D"/>
    <w:rsid w:val="FE73A405"/>
    <w:rsid w:val="FE9F16E7"/>
    <w:rsid w:val="FEED619E"/>
    <w:rsid w:val="FEFF1086"/>
    <w:rsid w:val="FF753C44"/>
    <w:rsid w:val="FFA78F7F"/>
    <w:rsid w:val="FFBFC660"/>
    <w:rsid w:val="FFCDA8A2"/>
    <w:rsid w:val="FFE7BA21"/>
    <w:rsid w:val="FFFB24FA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BA5"/>
    <w:rsid w:val="00021259"/>
    <w:rsid w:val="00021359"/>
    <w:rsid w:val="000223BE"/>
    <w:rsid w:val="00022B01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CA0"/>
    <w:rsid w:val="00042E6F"/>
    <w:rsid w:val="00043923"/>
    <w:rsid w:val="00043FCA"/>
    <w:rsid w:val="000456BC"/>
    <w:rsid w:val="00045EDE"/>
    <w:rsid w:val="000462DF"/>
    <w:rsid w:val="00046E3D"/>
    <w:rsid w:val="00047B47"/>
    <w:rsid w:val="000516D3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1D51"/>
    <w:rsid w:val="0006281F"/>
    <w:rsid w:val="00062984"/>
    <w:rsid w:val="00063589"/>
    <w:rsid w:val="00067927"/>
    <w:rsid w:val="000700B4"/>
    <w:rsid w:val="00070597"/>
    <w:rsid w:val="0007093A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E40"/>
    <w:rsid w:val="00093BD2"/>
    <w:rsid w:val="0009487B"/>
    <w:rsid w:val="00096228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53F5"/>
    <w:rsid w:val="000A5A31"/>
    <w:rsid w:val="000A636B"/>
    <w:rsid w:val="000A6CCF"/>
    <w:rsid w:val="000B0C45"/>
    <w:rsid w:val="000B21DA"/>
    <w:rsid w:val="000B25A2"/>
    <w:rsid w:val="000B2A5C"/>
    <w:rsid w:val="000B31AA"/>
    <w:rsid w:val="000B38F6"/>
    <w:rsid w:val="000B3A65"/>
    <w:rsid w:val="000B4B76"/>
    <w:rsid w:val="000B4CDF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6228"/>
    <w:rsid w:val="000D6D39"/>
    <w:rsid w:val="000E0C43"/>
    <w:rsid w:val="000E1125"/>
    <w:rsid w:val="000E1993"/>
    <w:rsid w:val="000E3B8A"/>
    <w:rsid w:val="000E5499"/>
    <w:rsid w:val="000E58FE"/>
    <w:rsid w:val="000E6390"/>
    <w:rsid w:val="000E7A4B"/>
    <w:rsid w:val="000F07AC"/>
    <w:rsid w:val="000F0A7B"/>
    <w:rsid w:val="000F12EE"/>
    <w:rsid w:val="000F2856"/>
    <w:rsid w:val="000F2AD3"/>
    <w:rsid w:val="000F42FD"/>
    <w:rsid w:val="000F4CFF"/>
    <w:rsid w:val="000F561E"/>
    <w:rsid w:val="000F569B"/>
    <w:rsid w:val="000F7621"/>
    <w:rsid w:val="00100030"/>
    <w:rsid w:val="00101D29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6DF"/>
    <w:rsid w:val="00116546"/>
    <w:rsid w:val="0012071D"/>
    <w:rsid w:val="00121944"/>
    <w:rsid w:val="00122802"/>
    <w:rsid w:val="00123B85"/>
    <w:rsid w:val="001253A3"/>
    <w:rsid w:val="00126145"/>
    <w:rsid w:val="0012673B"/>
    <w:rsid w:val="001277F8"/>
    <w:rsid w:val="00131C3C"/>
    <w:rsid w:val="00131F5D"/>
    <w:rsid w:val="00131F75"/>
    <w:rsid w:val="0013288E"/>
    <w:rsid w:val="00134275"/>
    <w:rsid w:val="001347A6"/>
    <w:rsid w:val="0013534D"/>
    <w:rsid w:val="001363AD"/>
    <w:rsid w:val="0013706A"/>
    <w:rsid w:val="001371E5"/>
    <w:rsid w:val="00137B0E"/>
    <w:rsid w:val="00137D4E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A40"/>
    <w:rsid w:val="00161532"/>
    <w:rsid w:val="001619AF"/>
    <w:rsid w:val="001627D9"/>
    <w:rsid w:val="0016573E"/>
    <w:rsid w:val="00166327"/>
    <w:rsid w:val="001666D1"/>
    <w:rsid w:val="00170C6A"/>
    <w:rsid w:val="00170DEC"/>
    <w:rsid w:val="00171344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B000D"/>
    <w:rsid w:val="001B16FF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A6D"/>
    <w:rsid w:val="002121C3"/>
    <w:rsid w:val="00212C17"/>
    <w:rsid w:val="00212D83"/>
    <w:rsid w:val="00213A70"/>
    <w:rsid w:val="00214533"/>
    <w:rsid w:val="002153F9"/>
    <w:rsid w:val="002155FA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C7B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5D4"/>
    <w:rsid w:val="00266CB2"/>
    <w:rsid w:val="00267584"/>
    <w:rsid w:val="00267D0B"/>
    <w:rsid w:val="00270994"/>
    <w:rsid w:val="00270A1C"/>
    <w:rsid w:val="00270C0D"/>
    <w:rsid w:val="002714DF"/>
    <w:rsid w:val="002716E8"/>
    <w:rsid w:val="00271948"/>
    <w:rsid w:val="00271ED8"/>
    <w:rsid w:val="002724B9"/>
    <w:rsid w:val="002730ED"/>
    <w:rsid w:val="0027675D"/>
    <w:rsid w:val="00276768"/>
    <w:rsid w:val="0027683F"/>
    <w:rsid w:val="002801FB"/>
    <w:rsid w:val="00281030"/>
    <w:rsid w:val="00281718"/>
    <w:rsid w:val="00284052"/>
    <w:rsid w:val="00284D42"/>
    <w:rsid w:val="00284DD1"/>
    <w:rsid w:val="002854AD"/>
    <w:rsid w:val="002855D0"/>
    <w:rsid w:val="00286D9E"/>
    <w:rsid w:val="0029036D"/>
    <w:rsid w:val="00290E18"/>
    <w:rsid w:val="00291D54"/>
    <w:rsid w:val="00293A6E"/>
    <w:rsid w:val="00295507"/>
    <w:rsid w:val="00295842"/>
    <w:rsid w:val="00296302"/>
    <w:rsid w:val="00297A88"/>
    <w:rsid w:val="002A1794"/>
    <w:rsid w:val="002A20D3"/>
    <w:rsid w:val="002A33D1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F0A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DA7"/>
    <w:rsid w:val="002F66B7"/>
    <w:rsid w:val="002F79CF"/>
    <w:rsid w:val="002F7AA9"/>
    <w:rsid w:val="00302077"/>
    <w:rsid w:val="00302E83"/>
    <w:rsid w:val="003031CE"/>
    <w:rsid w:val="0030410B"/>
    <w:rsid w:val="00305358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6470"/>
    <w:rsid w:val="00316E20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37390"/>
    <w:rsid w:val="00340AAF"/>
    <w:rsid w:val="00340B00"/>
    <w:rsid w:val="00340F7E"/>
    <w:rsid w:val="00341C99"/>
    <w:rsid w:val="00341CF5"/>
    <w:rsid w:val="003427A9"/>
    <w:rsid w:val="003436BE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D6E"/>
    <w:rsid w:val="003577BE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C8F"/>
    <w:rsid w:val="00370E0A"/>
    <w:rsid w:val="0037155B"/>
    <w:rsid w:val="00371876"/>
    <w:rsid w:val="00372C00"/>
    <w:rsid w:val="003737D0"/>
    <w:rsid w:val="00373D0E"/>
    <w:rsid w:val="00373D4E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E5D"/>
    <w:rsid w:val="00391F87"/>
    <w:rsid w:val="003927FF"/>
    <w:rsid w:val="00393338"/>
    <w:rsid w:val="003937EC"/>
    <w:rsid w:val="00394558"/>
    <w:rsid w:val="00394FC5"/>
    <w:rsid w:val="00395560"/>
    <w:rsid w:val="00396952"/>
    <w:rsid w:val="00396C58"/>
    <w:rsid w:val="00397880"/>
    <w:rsid w:val="00397B39"/>
    <w:rsid w:val="00397C52"/>
    <w:rsid w:val="003A150D"/>
    <w:rsid w:val="003A2323"/>
    <w:rsid w:val="003A2A06"/>
    <w:rsid w:val="003A3ACC"/>
    <w:rsid w:val="003A4C78"/>
    <w:rsid w:val="003A5159"/>
    <w:rsid w:val="003A552B"/>
    <w:rsid w:val="003A6B26"/>
    <w:rsid w:val="003A71C8"/>
    <w:rsid w:val="003A77FA"/>
    <w:rsid w:val="003A7F66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C050E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877"/>
    <w:rsid w:val="003D2880"/>
    <w:rsid w:val="003D2B72"/>
    <w:rsid w:val="003D42C7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7284"/>
    <w:rsid w:val="00401149"/>
    <w:rsid w:val="00401C3E"/>
    <w:rsid w:val="00402720"/>
    <w:rsid w:val="00402985"/>
    <w:rsid w:val="00403E3E"/>
    <w:rsid w:val="00404949"/>
    <w:rsid w:val="00405489"/>
    <w:rsid w:val="004060CF"/>
    <w:rsid w:val="00406593"/>
    <w:rsid w:val="004069B2"/>
    <w:rsid w:val="0040772C"/>
    <w:rsid w:val="00410408"/>
    <w:rsid w:val="004109CF"/>
    <w:rsid w:val="00411350"/>
    <w:rsid w:val="004123C0"/>
    <w:rsid w:val="00413229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4EC"/>
    <w:rsid w:val="00427917"/>
    <w:rsid w:val="00430C93"/>
    <w:rsid w:val="004314E9"/>
    <w:rsid w:val="004322C6"/>
    <w:rsid w:val="00432C92"/>
    <w:rsid w:val="00433F05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BBB"/>
    <w:rsid w:val="00482BE3"/>
    <w:rsid w:val="00483831"/>
    <w:rsid w:val="004841FA"/>
    <w:rsid w:val="00485114"/>
    <w:rsid w:val="00485AE4"/>
    <w:rsid w:val="00486111"/>
    <w:rsid w:val="00486720"/>
    <w:rsid w:val="004904C9"/>
    <w:rsid w:val="0049107E"/>
    <w:rsid w:val="0049176F"/>
    <w:rsid w:val="004918AD"/>
    <w:rsid w:val="0049227F"/>
    <w:rsid w:val="00492EA5"/>
    <w:rsid w:val="00493247"/>
    <w:rsid w:val="00494AAD"/>
    <w:rsid w:val="004966BC"/>
    <w:rsid w:val="004A0053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B05"/>
    <w:rsid w:val="004B2BBA"/>
    <w:rsid w:val="004B5502"/>
    <w:rsid w:val="004B6C86"/>
    <w:rsid w:val="004B71F4"/>
    <w:rsid w:val="004B74FE"/>
    <w:rsid w:val="004B76B6"/>
    <w:rsid w:val="004C0B5E"/>
    <w:rsid w:val="004C16C3"/>
    <w:rsid w:val="004C16F8"/>
    <w:rsid w:val="004C2054"/>
    <w:rsid w:val="004C21FC"/>
    <w:rsid w:val="004C36B0"/>
    <w:rsid w:val="004C383B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9A3"/>
    <w:rsid w:val="004D7034"/>
    <w:rsid w:val="004D7C0E"/>
    <w:rsid w:val="004E06BE"/>
    <w:rsid w:val="004E0A86"/>
    <w:rsid w:val="004E3A45"/>
    <w:rsid w:val="004E3B7D"/>
    <w:rsid w:val="004E3E3E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CC0"/>
    <w:rsid w:val="004F4675"/>
    <w:rsid w:val="004F557E"/>
    <w:rsid w:val="004F5BE1"/>
    <w:rsid w:val="004F6083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2049B"/>
    <w:rsid w:val="0052129E"/>
    <w:rsid w:val="005214BE"/>
    <w:rsid w:val="005219AA"/>
    <w:rsid w:val="00521F4D"/>
    <w:rsid w:val="00522736"/>
    <w:rsid w:val="0052387B"/>
    <w:rsid w:val="00524F27"/>
    <w:rsid w:val="005254B1"/>
    <w:rsid w:val="00525585"/>
    <w:rsid w:val="00525BAC"/>
    <w:rsid w:val="0052657B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CB5"/>
    <w:rsid w:val="00553234"/>
    <w:rsid w:val="00553342"/>
    <w:rsid w:val="00553E9D"/>
    <w:rsid w:val="0055402E"/>
    <w:rsid w:val="005543B0"/>
    <w:rsid w:val="0055689F"/>
    <w:rsid w:val="00560225"/>
    <w:rsid w:val="00561349"/>
    <w:rsid w:val="005618C7"/>
    <w:rsid w:val="00562405"/>
    <w:rsid w:val="00562AF2"/>
    <w:rsid w:val="00565744"/>
    <w:rsid w:val="005657FC"/>
    <w:rsid w:val="00567054"/>
    <w:rsid w:val="005672C5"/>
    <w:rsid w:val="00567A4F"/>
    <w:rsid w:val="00567A9A"/>
    <w:rsid w:val="00570FEC"/>
    <w:rsid w:val="00571A8C"/>
    <w:rsid w:val="00571E4B"/>
    <w:rsid w:val="00571F06"/>
    <w:rsid w:val="00573328"/>
    <w:rsid w:val="0057377D"/>
    <w:rsid w:val="0057384A"/>
    <w:rsid w:val="00575E08"/>
    <w:rsid w:val="00576C2B"/>
    <w:rsid w:val="005824B8"/>
    <w:rsid w:val="00585E04"/>
    <w:rsid w:val="00586634"/>
    <w:rsid w:val="00586698"/>
    <w:rsid w:val="005910DD"/>
    <w:rsid w:val="00591846"/>
    <w:rsid w:val="00591B91"/>
    <w:rsid w:val="00591DDA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58D4"/>
    <w:rsid w:val="005C778A"/>
    <w:rsid w:val="005D00B8"/>
    <w:rsid w:val="005D014F"/>
    <w:rsid w:val="005D15A6"/>
    <w:rsid w:val="005D57F1"/>
    <w:rsid w:val="005D5FC6"/>
    <w:rsid w:val="005D67D5"/>
    <w:rsid w:val="005D680C"/>
    <w:rsid w:val="005D6847"/>
    <w:rsid w:val="005E06D3"/>
    <w:rsid w:val="005E17B3"/>
    <w:rsid w:val="005E27C0"/>
    <w:rsid w:val="005E2BED"/>
    <w:rsid w:val="005E4B6D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1004"/>
    <w:rsid w:val="005F1FAE"/>
    <w:rsid w:val="005F2D3F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7A61"/>
    <w:rsid w:val="00607C96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6CB7"/>
    <w:rsid w:val="00626F9F"/>
    <w:rsid w:val="00627ACD"/>
    <w:rsid w:val="00630383"/>
    <w:rsid w:val="006308BC"/>
    <w:rsid w:val="00630B29"/>
    <w:rsid w:val="00633DA7"/>
    <w:rsid w:val="00635291"/>
    <w:rsid w:val="006357BD"/>
    <w:rsid w:val="00636BB2"/>
    <w:rsid w:val="006406AF"/>
    <w:rsid w:val="006408DC"/>
    <w:rsid w:val="006413AD"/>
    <w:rsid w:val="006418AE"/>
    <w:rsid w:val="00642412"/>
    <w:rsid w:val="00642701"/>
    <w:rsid w:val="00643373"/>
    <w:rsid w:val="00643388"/>
    <w:rsid w:val="00643A7A"/>
    <w:rsid w:val="0064412D"/>
    <w:rsid w:val="00644FE4"/>
    <w:rsid w:val="0064545A"/>
    <w:rsid w:val="006459C0"/>
    <w:rsid w:val="00645ADA"/>
    <w:rsid w:val="00645FC7"/>
    <w:rsid w:val="00646CE6"/>
    <w:rsid w:val="00646F8A"/>
    <w:rsid w:val="006479E2"/>
    <w:rsid w:val="00647A5E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1810"/>
    <w:rsid w:val="006631E5"/>
    <w:rsid w:val="00665721"/>
    <w:rsid w:val="00667196"/>
    <w:rsid w:val="00670351"/>
    <w:rsid w:val="006706AA"/>
    <w:rsid w:val="006718B7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4740"/>
    <w:rsid w:val="006954BD"/>
    <w:rsid w:val="00697138"/>
    <w:rsid w:val="0069757C"/>
    <w:rsid w:val="006978B2"/>
    <w:rsid w:val="00697DD7"/>
    <w:rsid w:val="006A187D"/>
    <w:rsid w:val="006A1D82"/>
    <w:rsid w:val="006A1EFA"/>
    <w:rsid w:val="006A247E"/>
    <w:rsid w:val="006A2689"/>
    <w:rsid w:val="006A451F"/>
    <w:rsid w:val="006A575A"/>
    <w:rsid w:val="006A60AE"/>
    <w:rsid w:val="006A63F2"/>
    <w:rsid w:val="006A65E1"/>
    <w:rsid w:val="006A67C2"/>
    <w:rsid w:val="006A6A31"/>
    <w:rsid w:val="006A7494"/>
    <w:rsid w:val="006B091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D3C"/>
    <w:rsid w:val="0070714D"/>
    <w:rsid w:val="0070743D"/>
    <w:rsid w:val="00707E83"/>
    <w:rsid w:val="00711E45"/>
    <w:rsid w:val="007131D1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F43"/>
    <w:rsid w:val="00771468"/>
    <w:rsid w:val="007719AC"/>
    <w:rsid w:val="00772B76"/>
    <w:rsid w:val="00773099"/>
    <w:rsid w:val="007731EF"/>
    <w:rsid w:val="00773686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A69"/>
    <w:rsid w:val="007A3AD3"/>
    <w:rsid w:val="007A664B"/>
    <w:rsid w:val="007A6821"/>
    <w:rsid w:val="007A696E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587"/>
    <w:rsid w:val="007D36F2"/>
    <w:rsid w:val="007D4D85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80049C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E4C"/>
    <w:rsid w:val="008115B4"/>
    <w:rsid w:val="00811A11"/>
    <w:rsid w:val="00812603"/>
    <w:rsid w:val="00813E78"/>
    <w:rsid w:val="0081405E"/>
    <w:rsid w:val="00814945"/>
    <w:rsid w:val="00814985"/>
    <w:rsid w:val="008160BF"/>
    <w:rsid w:val="00816F96"/>
    <w:rsid w:val="008170EC"/>
    <w:rsid w:val="008175D4"/>
    <w:rsid w:val="00823AF8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4303"/>
    <w:rsid w:val="008543D3"/>
    <w:rsid w:val="00855AA3"/>
    <w:rsid w:val="00855BD4"/>
    <w:rsid w:val="00855CBD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FB8"/>
    <w:rsid w:val="00897E94"/>
    <w:rsid w:val="00897FAC"/>
    <w:rsid w:val="008A0087"/>
    <w:rsid w:val="008A0162"/>
    <w:rsid w:val="008A1BDC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69F3"/>
    <w:rsid w:val="008B725C"/>
    <w:rsid w:val="008C1045"/>
    <w:rsid w:val="008C1D6D"/>
    <w:rsid w:val="008C21EB"/>
    <w:rsid w:val="008C2BB9"/>
    <w:rsid w:val="008C3EFD"/>
    <w:rsid w:val="008C3F98"/>
    <w:rsid w:val="008C402A"/>
    <w:rsid w:val="008C4684"/>
    <w:rsid w:val="008C56E2"/>
    <w:rsid w:val="008C594A"/>
    <w:rsid w:val="008C5B29"/>
    <w:rsid w:val="008C5C15"/>
    <w:rsid w:val="008D1D48"/>
    <w:rsid w:val="008D1DAC"/>
    <w:rsid w:val="008D23AF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41F4"/>
    <w:rsid w:val="008E4AB6"/>
    <w:rsid w:val="008E4BCE"/>
    <w:rsid w:val="008E5B71"/>
    <w:rsid w:val="008E5E80"/>
    <w:rsid w:val="008E705E"/>
    <w:rsid w:val="008E74B4"/>
    <w:rsid w:val="008F196B"/>
    <w:rsid w:val="008F2453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762D"/>
    <w:rsid w:val="009102E2"/>
    <w:rsid w:val="009107DE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2A9F"/>
    <w:rsid w:val="009230F4"/>
    <w:rsid w:val="009233DD"/>
    <w:rsid w:val="009233F9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23F1"/>
    <w:rsid w:val="00932985"/>
    <w:rsid w:val="00934ADA"/>
    <w:rsid w:val="0093545D"/>
    <w:rsid w:val="009362D5"/>
    <w:rsid w:val="00937A62"/>
    <w:rsid w:val="009400CF"/>
    <w:rsid w:val="00940533"/>
    <w:rsid w:val="00940C4A"/>
    <w:rsid w:val="009410AE"/>
    <w:rsid w:val="00942C37"/>
    <w:rsid w:val="009432FE"/>
    <w:rsid w:val="009438F8"/>
    <w:rsid w:val="00944414"/>
    <w:rsid w:val="00945FA9"/>
    <w:rsid w:val="0094691D"/>
    <w:rsid w:val="0095026D"/>
    <w:rsid w:val="009523B0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1DDC"/>
    <w:rsid w:val="00973A7E"/>
    <w:rsid w:val="0097502F"/>
    <w:rsid w:val="009755AD"/>
    <w:rsid w:val="009757E0"/>
    <w:rsid w:val="00976D9D"/>
    <w:rsid w:val="0097718E"/>
    <w:rsid w:val="009778FC"/>
    <w:rsid w:val="009800B6"/>
    <w:rsid w:val="009809FF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2DCD"/>
    <w:rsid w:val="00993409"/>
    <w:rsid w:val="00993BC5"/>
    <w:rsid w:val="00993E50"/>
    <w:rsid w:val="00994702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2086"/>
    <w:rsid w:val="009C3006"/>
    <w:rsid w:val="009C3995"/>
    <w:rsid w:val="009C3A55"/>
    <w:rsid w:val="009C404E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89"/>
    <w:rsid w:val="009E2829"/>
    <w:rsid w:val="009E2CD7"/>
    <w:rsid w:val="009E375F"/>
    <w:rsid w:val="009E619C"/>
    <w:rsid w:val="009E7020"/>
    <w:rsid w:val="009E7045"/>
    <w:rsid w:val="009E748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69F"/>
    <w:rsid w:val="00A27E76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42910"/>
    <w:rsid w:val="00A4305B"/>
    <w:rsid w:val="00A4388D"/>
    <w:rsid w:val="00A44BE1"/>
    <w:rsid w:val="00A44C3B"/>
    <w:rsid w:val="00A44DE3"/>
    <w:rsid w:val="00A4500D"/>
    <w:rsid w:val="00A456C9"/>
    <w:rsid w:val="00A504A8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12B9"/>
    <w:rsid w:val="00A624EA"/>
    <w:rsid w:val="00A64DE1"/>
    <w:rsid w:val="00A6585A"/>
    <w:rsid w:val="00A66029"/>
    <w:rsid w:val="00A6657C"/>
    <w:rsid w:val="00A665FB"/>
    <w:rsid w:val="00A66B14"/>
    <w:rsid w:val="00A66CF8"/>
    <w:rsid w:val="00A66F4D"/>
    <w:rsid w:val="00A70763"/>
    <w:rsid w:val="00A71C52"/>
    <w:rsid w:val="00A72431"/>
    <w:rsid w:val="00A72623"/>
    <w:rsid w:val="00A727DA"/>
    <w:rsid w:val="00A72B21"/>
    <w:rsid w:val="00A73251"/>
    <w:rsid w:val="00A737E2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28BD"/>
    <w:rsid w:val="00AA31A1"/>
    <w:rsid w:val="00AA3298"/>
    <w:rsid w:val="00AA3C58"/>
    <w:rsid w:val="00AA41AA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B57"/>
    <w:rsid w:val="00AB5AD6"/>
    <w:rsid w:val="00AB7A96"/>
    <w:rsid w:val="00AC1036"/>
    <w:rsid w:val="00AC1876"/>
    <w:rsid w:val="00AC1E06"/>
    <w:rsid w:val="00AC4276"/>
    <w:rsid w:val="00AC464D"/>
    <w:rsid w:val="00AC51E8"/>
    <w:rsid w:val="00AC57DE"/>
    <w:rsid w:val="00AC6ACD"/>
    <w:rsid w:val="00AC784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B3"/>
    <w:rsid w:val="00B029C1"/>
    <w:rsid w:val="00B0481B"/>
    <w:rsid w:val="00B0596A"/>
    <w:rsid w:val="00B07968"/>
    <w:rsid w:val="00B07B19"/>
    <w:rsid w:val="00B10FBA"/>
    <w:rsid w:val="00B110E2"/>
    <w:rsid w:val="00B1189C"/>
    <w:rsid w:val="00B12666"/>
    <w:rsid w:val="00B126DA"/>
    <w:rsid w:val="00B1296D"/>
    <w:rsid w:val="00B15903"/>
    <w:rsid w:val="00B166C8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C18"/>
    <w:rsid w:val="00B343CB"/>
    <w:rsid w:val="00B35769"/>
    <w:rsid w:val="00B3680E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60685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38EB"/>
    <w:rsid w:val="00B73A91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28EE"/>
    <w:rsid w:val="00B92AD5"/>
    <w:rsid w:val="00B92F5A"/>
    <w:rsid w:val="00B94407"/>
    <w:rsid w:val="00B94BA4"/>
    <w:rsid w:val="00B95787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FEC"/>
    <w:rsid w:val="00BB6103"/>
    <w:rsid w:val="00BB65B1"/>
    <w:rsid w:val="00BB69D5"/>
    <w:rsid w:val="00BC03E1"/>
    <w:rsid w:val="00BC0E5E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A30"/>
    <w:rsid w:val="00BD3B45"/>
    <w:rsid w:val="00BD464A"/>
    <w:rsid w:val="00BD51C8"/>
    <w:rsid w:val="00BD5814"/>
    <w:rsid w:val="00BD58EB"/>
    <w:rsid w:val="00BD6CFB"/>
    <w:rsid w:val="00BE000A"/>
    <w:rsid w:val="00BE058C"/>
    <w:rsid w:val="00BE1DE7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1D21"/>
    <w:rsid w:val="00C11EFC"/>
    <w:rsid w:val="00C1230A"/>
    <w:rsid w:val="00C12C53"/>
    <w:rsid w:val="00C130BA"/>
    <w:rsid w:val="00C132A6"/>
    <w:rsid w:val="00C133DF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3DEA"/>
    <w:rsid w:val="00C340C6"/>
    <w:rsid w:val="00C343FB"/>
    <w:rsid w:val="00C353D0"/>
    <w:rsid w:val="00C354D8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B46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501F"/>
    <w:rsid w:val="00CA520A"/>
    <w:rsid w:val="00CA59FA"/>
    <w:rsid w:val="00CA5D6F"/>
    <w:rsid w:val="00CA61CF"/>
    <w:rsid w:val="00CA6256"/>
    <w:rsid w:val="00CA7998"/>
    <w:rsid w:val="00CB0240"/>
    <w:rsid w:val="00CB0A84"/>
    <w:rsid w:val="00CB1749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7E62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9CB"/>
    <w:rsid w:val="00D04274"/>
    <w:rsid w:val="00D04C3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5D0"/>
    <w:rsid w:val="00D20B7D"/>
    <w:rsid w:val="00D20D1C"/>
    <w:rsid w:val="00D21306"/>
    <w:rsid w:val="00D2151A"/>
    <w:rsid w:val="00D22151"/>
    <w:rsid w:val="00D22952"/>
    <w:rsid w:val="00D22A2E"/>
    <w:rsid w:val="00D240AB"/>
    <w:rsid w:val="00D24383"/>
    <w:rsid w:val="00D2535F"/>
    <w:rsid w:val="00D25C46"/>
    <w:rsid w:val="00D25CA2"/>
    <w:rsid w:val="00D26BCB"/>
    <w:rsid w:val="00D26CC6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F3F"/>
    <w:rsid w:val="00D610EE"/>
    <w:rsid w:val="00D61E2F"/>
    <w:rsid w:val="00D61F13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A02FB"/>
    <w:rsid w:val="00DA0502"/>
    <w:rsid w:val="00DA12AB"/>
    <w:rsid w:val="00DA14B6"/>
    <w:rsid w:val="00DA172D"/>
    <w:rsid w:val="00DA238B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D74D6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1FCE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DED"/>
    <w:rsid w:val="00E0032E"/>
    <w:rsid w:val="00E0074D"/>
    <w:rsid w:val="00E007CD"/>
    <w:rsid w:val="00E0205D"/>
    <w:rsid w:val="00E02AB5"/>
    <w:rsid w:val="00E03BE1"/>
    <w:rsid w:val="00E0458A"/>
    <w:rsid w:val="00E04783"/>
    <w:rsid w:val="00E048C6"/>
    <w:rsid w:val="00E06B20"/>
    <w:rsid w:val="00E0737F"/>
    <w:rsid w:val="00E1018A"/>
    <w:rsid w:val="00E10C7D"/>
    <w:rsid w:val="00E1155D"/>
    <w:rsid w:val="00E120F4"/>
    <w:rsid w:val="00E121B5"/>
    <w:rsid w:val="00E12234"/>
    <w:rsid w:val="00E1226F"/>
    <w:rsid w:val="00E125F6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2840"/>
    <w:rsid w:val="00E22E1F"/>
    <w:rsid w:val="00E2389C"/>
    <w:rsid w:val="00E24866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4013C"/>
    <w:rsid w:val="00E40D48"/>
    <w:rsid w:val="00E40DBF"/>
    <w:rsid w:val="00E42A45"/>
    <w:rsid w:val="00E42C98"/>
    <w:rsid w:val="00E43798"/>
    <w:rsid w:val="00E43842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707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4324"/>
    <w:rsid w:val="00EB4808"/>
    <w:rsid w:val="00EB4DD2"/>
    <w:rsid w:val="00EB6B1E"/>
    <w:rsid w:val="00EB6B41"/>
    <w:rsid w:val="00EB7739"/>
    <w:rsid w:val="00EB7DFF"/>
    <w:rsid w:val="00EC1D1E"/>
    <w:rsid w:val="00EC201F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916"/>
    <w:rsid w:val="00EF0067"/>
    <w:rsid w:val="00EF0451"/>
    <w:rsid w:val="00EF0AC4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52E7"/>
    <w:rsid w:val="00F069E7"/>
    <w:rsid w:val="00F0722B"/>
    <w:rsid w:val="00F12DA8"/>
    <w:rsid w:val="00F12E0E"/>
    <w:rsid w:val="00F1322B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665"/>
    <w:rsid w:val="00F23D88"/>
    <w:rsid w:val="00F241E7"/>
    <w:rsid w:val="00F24C90"/>
    <w:rsid w:val="00F25BEF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44AB"/>
    <w:rsid w:val="00F55435"/>
    <w:rsid w:val="00F5545B"/>
    <w:rsid w:val="00F55EB0"/>
    <w:rsid w:val="00F5653F"/>
    <w:rsid w:val="00F56A1B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7357E"/>
    <w:rsid w:val="00F73D21"/>
    <w:rsid w:val="00F74DF5"/>
    <w:rsid w:val="00F74ED0"/>
    <w:rsid w:val="00F759D4"/>
    <w:rsid w:val="00F75B44"/>
    <w:rsid w:val="00F76E39"/>
    <w:rsid w:val="00F81DB2"/>
    <w:rsid w:val="00F832DB"/>
    <w:rsid w:val="00F83593"/>
    <w:rsid w:val="00F837F7"/>
    <w:rsid w:val="00F83956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D27"/>
    <w:rsid w:val="00FA20BF"/>
    <w:rsid w:val="00FA2F06"/>
    <w:rsid w:val="00FA34B5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E69"/>
    <w:rsid w:val="00FD5CC1"/>
    <w:rsid w:val="00FD6206"/>
    <w:rsid w:val="00FD67A9"/>
    <w:rsid w:val="00FD7816"/>
    <w:rsid w:val="00FE09E7"/>
    <w:rsid w:val="00FE0AB3"/>
    <w:rsid w:val="00FE2161"/>
    <w:rsid w:val="00FE23FB"/>
    <w:rsid w:val="00FE33D4"/>
    <w:rsid w:val="00FE3DAE"/>
    <w:rsid w:val="00FE42E1"/>
    <w:rsid w:val="00FE58B6"/>
    <w:rsid w:val="00FE724B"/>
    <w:rsid w:val="00FE7430"/>
    <w:rsid w:val="00FF0471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7857"/>
    <w:rsid w:val="010B76E5"/>
    <w:rsid w:val="01100128"/>
    <w:rsid w:val="01136FD2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724323"/>
    <w:rsid w:val="017B1B16"/>
    <w:rsid w:val="017E5995"/>
    <w:rsid w:val="019D4B3D"/>
    <w:rsid w:val="019F0207"/>
    <w:rsid w:val="01A02944"/>
    <w:rsid w:val="01A7517B"/>
    <w:rsid w:val="01A87132"/>
    <w:rsid w:val="01B354EB"/>
    <w:rsid w:val="01B409B2"/>
    <w:rsid w:val="01D02B7A"/>
    <w:rsid w:val="01D857EB"/>
    <w:rsid w:val="01DF6FE0"/>
    <w:rsid w:val="01E05D9F"/>
    <w:rsid w:val="01E2625D"/>
    <w:rsid w:val="01E4753D"/>
    <w:rsid w:val="01E6243E"/>
    <w:rsid w:val="01EB1953"/>
    <w:rsid w:val="01F6071A"/>
    <w:rsid w:val="02102D34"/>
    <w:rsid w:val="02105BCC"/>
    <w:rsid w:val="0213188C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E3AD6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837B30"/>
    <w:rsid w:val="05910818"/>
    <w:rsid w:val="05A022CF"/>
    <w:rsid w:val="05A146DE"/>
    <w:rsid w:val="05B075BA"/>
    <w:rsid w:val="05B56935"/>
    <w:rsid w:val="05B63D95"/>
    <w:rsid w:val="05C35A70"/>
    <w:rsid w:val="05DE0196"/>
    <w:rsid w:val="05DE2BED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E53934"/>
    <w:rsid w:val="08F979A1"/>
    <w:rsid w:val="09060066"/>
    <w:rsid w:val="090706DC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A2202C"/>
    <w:rsid w:val="09A313A7"/>
    <w:rsid w:val="09AA2ACA"/>
    <w:rsid w:val="09B44806"/>
    <w:rsid w:val="09B44883"/>
    <w:rsid w:val="09B45AED"/>
    <w:rsid w:val="09C0148B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403C0"/>
    <w:rsid w:val="0A9541D2"/>
    <w:rsid w:val="0AA77F22"/>
    <w:rsid w:val="0AAE3FA8"/>
    <w:rsid w:val="0AB34BED"/>
    <w:rsid w:val="0AD647A5"/>
    <w:rsid w:val="0AE50F21"/>
    <w:rsid w:val="0AF842F2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635DBE"/>
    <w:rsid w:val="0C686AA2"/>
    <w:rsid w:val="0C755CB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228D1"/>
    <w:rsid w:val="0F8C02E9"/>
    <w:rsid w:val="0F8F7413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0A179D"/>
    <w:rsid w:val="10120544"/>
    <w:rsid w:val="10133D23"/>
    <w:rsid w:val="10134314"/>
    <w:rsid w:val="101C4219"/>
    <w:rsid w:val="101F79B1"/>
    <w:rsid w:val="102C5093"/>
    <w:rsid w:val="102F5257"/>
    <w:rsid w:val="103E22B2"/>
    <w:rsid w:val="105B4450"/>
    <w:rsid w:val="106E070C"/>
    <w:rsid w:val="10731E13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31B4B"/>
    <w:rsid w:val="10BE79E8"/>
    <w:rsid w:val="10D371D9"/>
    <w:rsid w:val="10DE5F6D"/>
    <w:rsid w:val="10E75ECD"/>
    <w:rsid w:val="10F3177E"/>
    <w:rsid w:val="10FC0194"/>
    <w:rsid w:val="10FE02D8"/>
    <w:rsid w:val="110C7CEA"/>
    <w:rsid w:val="110F2DD6"/>
    <w:rsid w:val="111202D6"/>
    <w:rsid w:val="111E737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3D67CD"/>
    <w:rsid w:val="12403D21"/>
    <w:rsid w:val="125013C6"/>
    <w:rsid w:val="12530D97"/>
    <w:rsid w:val="12532C34"/>
    <w:rsid w:val="125822F1"/>
    <w:rsid w:val="125E6811"/>
    <w:rsid w:val="12737B22"/>
    <w:rsid w:val="127444CA"/>
    <w:rsid w:val="127F5C15"/>
    <w:rsid w:val="128B57E5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27402D"/>
    <w:rsid w:val="132D4456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BF6B7B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502097B"/>
    <w:rsid w:val="15337D09"/>
    <w:rsid w:val="153C211B"/>
    <w:rsid w:val="153C7063"/>
    <w:rsid w:val="15513899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11F17"/>
    <w:rsid w:val="16A15C87"/>
    <w:rsid w:val="16A208E0"/>
    <w:rsid w:val="16A5270A"/>
    <w:rsid w:val="16B56C2D"/>
    <w:rsid w:val="16BB3AFF"/>
    <w:rsid w:val="16C938F5"/>
    <w:rsid w:val="16D003E0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4B7823"/>
    <w:rsid w:val="175B1D16"/>
    <w:rsid w:val="175E40B9"/>
    <w:rsid w:val="178B5FD7"/>
    <w:rsid w:val="178E5D23"/>
    <w:rsid w:val="1793303A"/>
    <w:rsid w:val="179C79A4"/>
    <w:rsid w:val="17B070BF"/>
    <w:rsid w:val="17D52F7B"/>
    <w:rsid w:val="17EB75B0"/>
    <w:rsid w:val="17EF3376"/>
    <w:rsid w:val="17F5084F"/>
    <w:rsid w:val="180B1BB2"/>
    <w:rsid w:val="180D5AD8"/>
    <w:rsid w:val="18116B35"/>
    <w:rsid w:val="181578CA"/>
    <w:rsid w:val="183653D1"/>
    <w:rsid w:val="18425D8C"/>
    <w:rsid w:val="18440068"/>
    <w:rsid w:val="18502972"/>
    <w:rsid w:val="185159AA"/>
    <w:rsid w:val="18697E60"/>
    <w:rsid w:val="1873107B"/>
    <w:rsid w:val="1875497B"/>
    <w:rsid w:val="187C2675"/>
    <w:rsid w:val="188C3829"/>
    <w:rsid w:val="18A5771F"/>
    <w:rsid w:val="18AF74E1"/>
    <w:rsid w:val="18BADD15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9ED3E54"/>
    <w:rsid w:val="19F27886"/>
    <w:rsid w:val="1A002A36"/>
    <w:rsid w:val="1A0F409F"/>
    <w:rsid w:val="1A2B25FE"/>
    <w:rsid w:val="1A3454BE"/>
    <w:rsid w:val="1A37645B"/>
    <w:rsid w:val="1A523105"/>
    <w:rsid w:val="1A5562D2"/>
    <w:rsid w:val="1A64411F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D219F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4B16C4"/>
    <w:rsid w:val="1B512965"/>
    <w:rsid w:val="1B5514DD"/>
    <w:rsid w:val="1B75757B"/>
    <w:rsid w:val="1B8B78DA"/>
    <w:rsid w:val="1B8F6855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2478C"/>
    <w:rsid w:val="1D1817C7"/>
    <w:rsid w:val="1D2F1D46"/>
    <w:rsid w:val="1D51270F"/>
    <w:rsid w:val="1D526265"/>
    <w:rsid w:val="1D535BFB"/>
    <w:rsid w:val="1D7326C6"/>
    <w:rsid w:val="1D8C3DAD"/>
    <w:rsid w:val="1DAE4EFB"/>
    <w:rsid w:val="1DB71CD1"/>
    <w:rsid w:val="1DBC10D7"/>
    <w:rsid w:val="1DBD16BE"/>
    <w:rsid w:val="1DC11297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42BA9"/>
    <w:rsid w:val="1E766DF2"/>
    <w:rsid w:val="1E780410"/>
    <w:rsid w:val="1E8E5EF5"/>
    <w:rsid w:val="1E9B24D5"/>
    <w:rsid w:val="1EA12FC1"/>
    <w:rsid w:val="1EA5795B"/>
    <w:rsid w:val="1EAD0FF4"/>
    <w:rsid w:val="1EB24880"/>
    <w:rsid w:val="1EC11CB6"/>
    <w:rsid w:val="1EC76DC7"/>
    <w:rsid w:val="1EC85A19"/>
    <w:rsid w:val="1ECA0FDF"/>
    <w:rsid w:val="1ECE3F18"/>
    <w:rsid w:val="1ED92D03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57415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56834"/>
    <w:rsid w:val="20AA06CD"/>
    <w:rsid w:val="20B25C3D"/>
    <w:rsid w:val="20B51035"/>
    <w:rsid w:val="20B53FF2"/>
    <w:rsid w:val="20C904F0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AA139D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710B9"/>
    <w:rsid w:val="220B587A"/>
    <w:rsid w:val="22156802"/>
    <w:rsid w:val="221B45D7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3105512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700EF"/>
    <w:rsid w:val="24996D32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C433E"/>
    <w:rsid w:val="27CE139A"/>
    <w:rsid w:val="27E25E49"/>
    <w:rsid w:val="27E63AB6"/>
    <w:rsid w:val="27F231DD"/>
    <w:rsid w:val="28162C62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50B15"/>
    <w:rsid w:val="2B4A3494"/>
    <w:rsid w:val="2B4D5A99"/>
    <w:rsid w:val="2B4E405F"/>
    <w:rsid w:val="2B510311"/>
    <w:rsid w:val="2B593E95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D4799"/>
    <w:rsid w:val="2BEF0EC8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E4CEB"/>
    <w:rsid w:val="2C786B60"/>
    <w:rsid w:val="2C7A2888"/>
    <w:rsid w:val="2C802F84"/>
    <w:rsid w:val="2C8045D1"/>
    <w:rsid w:val="2C9877F9"/>
    <w:rsid w:val="2CAA3375"/>
    <w:rsid w:val="2CB771ED"/>
    <w:rsid w:val="2CC130AA"/>
    <w:rsid w:val="2CC736A5"/>
    <w:rsid w:val="2CD40880"/>
    <w:rsid w:val="2CE04532"/>
    <w:rsid w:val="2CEB42D0"/>
    <w:rsid w:val="2D0A6D50"/>
    <w:rsid w:val="2D0A7297"/>
    <w:rsid w:val="2D1350E2"/>
    <w:rsid w:val="2D15427B"/>
    <w:rsid w:val="2D35124C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E83A34"/>
    <w:rsid w:val="2EFE23E9"/>
    <w:rsid w:val="2F0C4C2A"/>
    <w:rsid w:val="2F0F563F"/>
    <w:rsid w:val="2F144960"/>
    <w:rsid w:val="2F1519D6"/>
    <w:rsid w:val="2F170C0F"/>
    <w:rsid w:val="2F1F3A4D"/>
    <w:rsid w:val="2F2B0AB4"/>
    <w:rsid w:val="2F2B4668"/>
    <w:rsid w:val="2F3E0C12"/>
    <w:rsid w:val="2F3E65CD"/>
    <w:rsid w:val="2F4558F1"/>
    <w:rsid w:val="2F4A56AD"/>
    <w:rsid w:val="2F4A6C26"/>
    <w:rsid w:val="2F581DBA"/>
    <w:rsid w:val="2F784790"/>
    <w:rsid w:val="2F7B36A8"/>
    <w:rsid w:val="2F826205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537C5"/>
    <w:rsid w:val="30185978"/>
    <w:rsid w:val="30264A9E"/>
    <w:rsid w:val="302E6167"/>
    <w:rsid w:val="303C26DA"/>
    <w:rsid w:val="303C3B19"/>
    <w:rsid w:val="304F4F89"/>
    <w:rsid w:val="305F515E"/>
    <w:rsid w:val="30663002"/>
    <w:rsid w:val="306E0AD2"/>
    <w:rsid w:val="307C5326"/>
    <w:rsid w:val="3095526B"/>
    <w:rsid w:val="30974BB3"/>
    <w:rsid w:val="30A01C92"/>
    <w:rsid w:val="30A5426C"/>
    <w:rsid w:val="30C4178A"/>
    <w:rsid w:val="30E46B3F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50F9D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11002E"/>
    <w:rsid w:val="323A5F58"/>
    <w:rsid w:val="32774B5E"/>
    <w:rsid w:val="328209B0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40914"/>
    <w:rsid w:val="33CE61A0"/>
    <w:rsid w:val="33E201D4"/>
    <w:rsid w:val="33E75242"/>
    <w:rsid w:val="33F20139"/>
    <w:rsid w:val="33F90BAA"/>
    <w:rsid w:val="33FB7E97"/>
    <w:rsid w:val="341101EA"/>
    <w:rsid w:val="341D0440"/>
    <w:rsid w:val="341E68F1"/>
    <w:rsid w:val="342105B8"/>
    <w:rsid w:val="34217FBA"/>
    <w:rsid w:val="3439248A"/>
    <w:rsid w:val="3446442E"/>
    <w:rsid w:val="344A237C"/>
    <w:rsid w:val="346C064E"/>
    <w:rsid w:val="346C77B6"/>
    <w:rsid w:val="34717DC6"/>
    <w:rsid w:val="347C176C"/>
    <w:rsid w:val="3487701B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F62AF"/>
    <w:rsid w:val="35F13E9C"/>
    <w:rsid w:val="36037463"/>
    <w:rsid w:val="361E480F"/>
    <w:rsid w:val="361E52A0"/>
    <w:rsid w:val="36366AFB"/>
    <w:rsid w:val="36372A85"/>
    <w:rsid w:val="36487758"/>
    <w:rsid w:val="364936C7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50353A"/>
    <w:rsid w:val="37791406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AFC1A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C44B1C"/>
    <w:rsid w:val="38E56697"/>
    <w:rsid w:val="38E8216B"/>
    <w:rsid w:val="3909782E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723BD"/>
    <w:rsid w:val="399C790E"/>
    <w:rsid w:val="39AD0862"/>
    <w:rsid w:val="39C429F4"/>
    <w:rsid w:val="39CD31DF"/>
    <w:rsid w:val="39DF3DBB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5700AC"/>
    <w:rsid w:val="3A612DA4"/>
    <w:rsid w:val="3A6A57DE"/>
    <w:rsid w:val="3A707D13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E8C497"/>
    <w:rsid w:val="3AF53639"/>
    <w:rsid w:val="3AFA4B51"/>
    <w:rsid w:val="3B036D81"/>
    <w:rsid w:val="3B1738F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633B39"/>
    <w:rsid w:val="3B6C183F"/>
    <w:rsid w:val="3B716826"/>
    <w:rsid w:val="3B7F4ED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456A68"/>
    <w:rsid w:val="3C4F16C1"/>
    <w:rsid w:val="3C5D7DF9"/>
    <w:rsid w:val="3C6068CD"/>
    <w:rsid w:val="3C7E0AFD"/>
    <w:rsid w:val="3C8310DE"/>
    <w:rsid w:val="3C8420AE"/>
    <w:rsid w:val="3C8B14D1"/>
    <w:rsid w:val="3C8D2FD6"/>
    <w:rsid w:val="3C9A2A62"/>
    <w:rsid w:val="3CA10C94"/>
    <w:rsid w:val="3CA849CB"/>
    <w:rsid w:val="3CCB5BC6"/>
    <w:rsid w:val="3CD14649"/>
    <w:rsid w:val="3CE86A1C"/>
    <w:rsid w:val="3CEF1F9E"/>
    <w:rsid w:val="3D062484"/>
    <w:rsid w:val="3D10063E"/>
    <w:rsid w:val="3D102D7B"/>
    <w:rsid w:val="3D177553"/>
    <w:rsid w:val="3D193DF3"/>
    <w:rsid w:val="3D1A14AD"/>
    <w:rsid w:val="3D1D3C05"/>
    <w:rsid w:val="3D246E5A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D4374A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6A15A8"/>
    <w:rsid w:val="3E6B7465"/>
    <w:rsid w:val="3E707A7A"/>
    <w:rsid w:val="3E735B9C"/>
    <w:rsid w:val="3E7C330F"/>
    <w:rsid w:val="3E820130"/>
    <w:rsid w:val="3E8558DB"/>
    <w:rsid w:val="3E892D0A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F0644E9"/>
    <w:rsid w:val="3F1556CB"/>
    <w:rsid w:val="3F24498F"/>
    <w:rsid w:val="3F2A38EA"/>
    <w:rsid w:val="3F42308C"/>
    <w:rsid w:val="3F4F005D"/>
    <w:rsid w:val="3F5C238A"/>
    <w:rsid w:val="3F6002AA"/>
    <w:rsid w:val="3F6468A4"/>
    <w:rsid w:val="3F652907"/>
    <w:rsid w:val="3F7C280B"/>
    <w:rsid w:val="3F7F96FC"/>
    <w:rsid w:val="3F86115B"/>
    <w:rsid w:val="3F8C0AE9"/>
    <w:rsid w:val="3F8D1F32"/>
    <w:rsid w:val="3F9360F8"/>
    <w:rsid w:val="3F9506AB"/>
    <w:rsid w:val="3F970FDB"/>
    <w:rsid w:val="3F9C4A09"/>
    <w:rsid w:val="3FA20CED"/>
    <w:rsid w:val="3FBD7207"/>
    <w:rsid w:val="3FC954B3"/>
    <w:rsid w:val="3FCD0087"/>
    <w:rsid w:val="3FCF2F1A"/>
    <w:rsid w:val="3FF97E2E"/>
    <w:rsid w:val="3FFFF7E5"/>
    <w:rsid w:val="400F0089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E0D77"/>
    <w:rsid w:val="41143DA3"/>
    <w:rsid w:val="41145094"/>
    <w:rsid w:val="4139101E"/>
    <w:rsid w:val="41443AA3"/>
    <w:rsid w:val="41454EA2"/>
    <w:rsid w:val="415347E5"/>
    <w:rsid w:val="41783809"/>
    <w:rsid w:val="418B104E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B2F7F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805B8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66675A"/>
    <w:rsid w:val="446A4DD6"/>
    <w:rsid w:val="447A4BFE"/>
    <w:rsid w:val="447E79EC"/>
    <w:rsid w:val="447F3FBD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A9516E"/>
    <w:rsid w:val="45DF4749"/>
    <w:rsid w:val="45E86354"/>
    <w:rsid w:val="45E86370"/>
    <w:rsid w:val="45EE35A4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70567D9"/>
    <w:rsid w:val="470F3F48"/>
    <w:rsid w:val="4711691D"/>
    <w:rsid w:val="47205FEA"/>
    <w:rsid w:val="47481121"/>
    <w:rsid w:val="474A50F5"/>
    <w:rsid w:val="474F114B"/>
    <w:rsid w:val="475B7278"/>
    <w:rsid w:val="47644F43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A72391"/>
    <w:rsid w:val="49D3414A"/>
    <w:rsid w:val="49D815D6"/>
    <w:rsid w:val="49D816F4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B23CDE"/>
    <w:rsid w:val="4AB377ED"/>
    <w:rsid w:val="4AB7491D"/>
    <w:rsid w:val="4AE709A1"/>
    <w:rsid w:val="4AF15C07"/>
    <w:rsid w:val="4AF63C83"/>
    <w:rsid w:val="4AFC516F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EF0411"/>
    <w:rsid w:val="4CF26DF6"/>
    <w:rsid w:val="4CFC55B3"/>
    <w:rsid w:val="4D1E6E23"/>
    <w:rsid w:val="4D240698"/>
    <w:rsid w:val="4D2C45C3"/>
    <w:rsid w:val="4D471B04"/>
    <w:rsid w:val="4D48759A"/>
    <w:rsid w:val="4D4D1D0E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7573E"/>
    <w:rsid w:val="4DE20D4D"/>
    <w:rsid w:val="4DEA04F2"/>
    <w:rsid w:val="4E0E0C2A"/>
    <w:rsid w:val="4E137686"/>
    <w:rsid w:val="4E1858BC"/>
    <w:rsid w:val="4E192FF3"/>
    <w:rsid w:val="4E1B2CF6"/>
    <w:rsid w:val="4E214745"/>
    <w:rsid w:val="4E27060C"/>
    <w:rsid w:val="4E38025C"/>
    <w:rsid w:val="4E5737A4"/>
    <w:rsid w:val="4E660625"/>
    <w:rsid w:val="4E6B1C67"/>
    <w:rsid w:val="4E7F5FA8"/>
    <w:rsid w:val="4E876A80"/>
    <w:rsid w:val="4E881A6F"/>
    <w:rsid w:val="4E8835CE"/>
    <w:rsid w:val="4E900192"/>
    <w:rsid w:val="4E9D3F9D"/>
    <w:rsid w:val="4EB46112"/>
    <w:rsid w:val="4EBA6B3A"/>
    <w:rsid w:val="4ECC4E51"/>
    <w:rsid w:val="4ED06DA8"/>
    <w:rsid w:val="4ED20DC7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430F16"/>
    <w:rsid w:val="4F4A1B00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F1357"/>
    <w:rsid w:val="4FC42854"/>
    <w:rsid w:val="4FC621F2"/>
    <w:rsid w:val="4FC7319D"/>
    <w:rsid w:val="4FD7DD1D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6C5899"/>
    <w:rsid w:val="50730E54"/>
    <w:rsid w:val="50731582"/>
    <w:rsid w:val="509A2E32"/>
    <w:rsid w:val="509F5FAB"/>
    <w:rsid w:val="50B51267"/>
    <w:rsid w:val="50D0779D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DB1094"/>
    <w:rsid w:val="51F704C3"/>
    <w:rsid w:val="52184844"/>
    <w:rsid w:val="52196CD6"/>
    <w:rsid w:val="52273196"/>
    <w:rsid w:val="524220E9"/>
    <w:rsid w:val="524C456B"/>
    <w:rsid w:val="52686954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F040E"/>
    <w:rsid w:val="53083AA3"/>
    <w:rsid w:val="532F5A3F"/>
    <w:rsid w:val="53396D3A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925D0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E4018"/>
    <w:rsid w:val="55C94CAE"/>
    <w:rsid w:val="55CF73F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D2CE4"/>
    <w:rsid w:val="57255749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E717C2"/>
    <w:rsid w:val="57E8396F"/>
    <w:rsid w:val="57EFC041"/>
    <w:rsid w:val="57F25F2B"/>
    <w:rsid w:val="580A6283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BB759A"/>
    <w:rsid w:val="58D632E1"/>
    <w:rsid w:val="58EE43A5"/>
    <w:rsid w:val="59011906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F207E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A24E45"/>
    <w:rsid w:val="5AA61FE7"/>
    <w:rsid w:val="5AB511E0"/>
    <w:rsid w:val="5AB75F83"/>
    <w:rsid w:val="5AB8BCED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A11B41"/>
    <w:rsid w:val="5BAC57D5"/>
    <w:rsid w:val="5BB60E07"/>
    <w:rsid w:val="5BB85E2E"/>
    <w:rsid w:val="5BBC15CD"/>
    <w:rsid w:val="5BC154FF"/>
    <w:rsid w:val="5BCE1DEC"/>
    <w:rsid w:val="5BDF914C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F409F"/>
    <w:rsid w:val="5E104740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6D0B"/>
    <w:rsid w:val="5EC93B6C"/>
    <w:rsid w:val="5ECE020E"/>
    <w:rsid w:val="5EDF234F"/>
    <w:rsid w:val="5EE1348F"/>
    <w:rsid w:val="5EEC4531"/>
    <w:rsid w:val="5EF03005"/>
    <w:rsid w:val="5EFB9F19"/>
    <w:rsid w:val="5F0D6C84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7F6140"/>
    <w:rsid w:val="5F800749"/>
    <w:rsid w:val="5F8A2AF4"/>
    <w:rsid w:val="5FAECB70"/>
    <w:rsid w:val="5FBF3FC2"/>
    <w:rsid w:val="5FC40B48"/>
    <w:rsid w:val="5FC41F4F"/>
    <w:rsid w:val="5FD80461"/>
    <w:rsid w:val="5FDF1EF7"/>
    <w:rsid w:val="5FE93E1D"/>
    <w:rsid w:val="5FF529AA"/>
    <w:rsid w:val="5FF78D9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4B68"/>
    <w:rsid w:val="6060310C"/>
    <w:rsid w:val="606625D3"/>
    <w:rsid w:val="606771FC"/>
    <w:rsid w:val="60734C44"/>
    <w:rsid w:val="608E127D"/>
    <w:rsid w:val="60A26AC3"/>
    <w:rsid w:val="60AA06D8"/>
    <w:rsid w:val="60C64409"/>
    <w:rsid w:val="60E5198E"/>
    <w:rsid w:val="60F46F08"/>
    <w:rsid w:val="610E5299"/>
    <w:rsid w:val="61173233"/>
    <w:rsid w:val="611B6045"/>
    <w:rsid w:val="613258E7"/>
    <w:rsid w:val="613B0519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E26CFA"/>
    <w:rsid w:val="61F155B4"/>
    <w:rsid w:val="620058CC"/>
    <w:rsid w:val="62010932"/>
    <w:rsid w:val="62175873"/>
    <w:rsid w:val="621A2AEC"/>
    <w:rsid w:val="621D3DE0"/>
    <w:rsid w:val="62204A9C"/>
    <w:rsid w:val="623D3F36"/>
    <w:rsid w:val="624D069F"/>
    <w:rsid w:val="625A3A2B"/>
    <w:rsid w:val="62641E35"/>
    <w:rsid w:val="628B380A"/>
    <w:rsid w:val="62A86AE4"/>
    <w:rsid w:val="62B6094A"/>
    <w:rsid w:val="62CE4E0F"/>
    <w:rsid w:val="62DF20A9"/>
    <w:rsid w:val="62E54C39"/>
    <w:rsid w:val="62EB578C"/>
    <w:rsid w:val="62F167F5"/>
    <w:rsid w:val="62FE5AC6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E9343E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13354E"/>
    <w:rsid w:val="66200813"/>
    <w:rsid w:val="662032A0"/>
    <w:rsid w:val="66322707"/>
    <w:rsid w:val="664A2B0B"/>
    <w:rsid w:val="66643CD5"/>
    <w:rsid w:val="66645BD3"/>
    <w:rsid w:val="666752FC"/>
    <w:rsid w:val="66706620"/>
    <w:rsid w:val="667A0598"/>
    <w:rsid w:val="667A2800"/>
    <w:rsid w:val="667B23ED"/>
    <w:rsid w:val="66895C07"/>
    <w:rsid w:val="669022B7"/>
    <w:rsid w:val="66940A39"/>
    <w:rsid w:val="66AD2869"/>
    <w:rsid w:val="66B73366"/>
    <w:rsid w:val="66CA5E5F"/>
    <w:rsid w:val="66E710BA"/>
    <w:rsid w:val="66ED62BD"/>
    <w:rsid w:val="66F61236"/>
    <w:rsid w:val="66F7489D"/>
    <w:rsid w:val="67164009"/>
    <w:rsid w:val="671A520A"/>
    <w:rsid w:val="67292A7D"/>
    <w:rsid w:val="672E27A7"/>
    <w:rsid w:val="673A2970"/>
    <w:rsid w:val="67514E24"/>
    <w:rsid w:val="67620408"/>
    <w:rsid w:val="677878C6"/>
    <w:rsid w:val="677A2F97"/>
    <w:rsid w:val="677D444B"/>
    <w:rsid w:val="67844C9F"/>
    <w:rsid w:val="6786306B"/>
    <w:rsid w:val="678C0D30"/>
    <w:rsid w:val="678F3A8F"/>
    <w:rsid w:val="67A01BAC"/>
    <w:rsid w:val="67A95626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653D2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8014F4"/>
    <w:rsid w:val="6984347B"/>
    <w:rsid w:val="69851B0E"/>
    <w:rsid w:val="69872D67"/>
    <w:rsid w:val="69940630"/>
    <w:rsid w:val="69A83449"/>
    <w:rsid w:val="69AF6A95"/>
    <w:rsid w:val="69BB706B"/>
    <w:rsid w:val="69C24AC2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D92C40"/>
    <w:rsid w:val="6BE839EF"/>
    <w:rsid w:val="6BED6077"/>
    <w:rsid w:val="6BF63366"/>
    <w:rsid w:val="6BFB9872"/>
    <w:rsid w:val="6BFEEDAA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14328"/>
    <w:rsid w:val="6CF27CB7"/>
    <w:rsid w:val="6CFF4FC3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A2FA8"/>
    <w:rsid w:val="6DAB1C1A"/>
    <w:rsid w:val="6DAB38BE"/>
    <w:rsid w:val="6DCF2AB3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5BF9E4"/>
    <w:rsid w:val="6E5F7415"/>
    <w:rsid w:val="6E7B5445"/>
    <w:rsid w:val="6E847F11"/>
    <w:rsid w:val="6E872104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80B8F"/>
    <w:rsid w:val="6F3C40E8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886E71"/>
    <w:rsid w:val="6F9C068A"/>
    <w:rsid w:val="6FAD7943"/>
    <w:rsid w:val="6FBE5CCB"/>
    <w:rsid w:val="6FC13350"/>
    <w:rsid w:val="6FC323D9"/>
    <w:rsid w:val="6FC86550"/>
    <w:rsid w:val="6FD638B1"/>
    <w:rsid w:val="6FD77CB6"/>
    <w:rsid w:val="6FEF4CBF"/>
    <w:rsid w:val="6FF03265"/>
    <w:rsid w:val="6FF27EB0"/>
    <w:rsid w:val="6FF67217"/>
    <w:rsid w:val="6FF9A144"/>
    <w:rsid w:val="6FFA62FB"/>
    <w:rsid w:val="70111D80"/>
    <w:rsid w:val="7013451F"/>
    <w:rsid w:val="70150303"/>
    <w:rsid w:val="702005DC"/>
    <w:rsid w:val="702E7C60"/>
    <w:rsid w:val="70853BCC"/>
    <w:rsid w:val="70A23903"/>
    <w:rsid w:val="70A36B91"/>
    <w:rsid w:val="70AB660C"/>
    <w:rsid w:val="70B4157B"/>
    <w:rsid w:val="70D01533"/>
    <w:rsid w:val="70D3493E"/>
    <w:rsid w:val="70D76741"/>
    <w:rsid w:val="70E00AE5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C4C7C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668A0"/>
    <w:rsid w:val="731B3421"/>
    <w:rsid w:val="7323171B"/>
    <w:rsid w:val="732A411A"/>
    <w:rsid w:val="73323926"/>
    <w:rsid w:val="735E1484"/>
    <w:rsid w:val="736D44EF"/>
    <w:rsid w:val="73780E63"/>
    <w:rsid w:val="739B3131"/>
    <w:rsid w:val="73AE2313"/>
    <w:rsid w:val="73B35A75"/>
    <w:rsid w:val="73C66FFC"/>
    <w:rsid w:val="73C97E9E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65350"/>
    <w:rsid w:val="746B647F"/>
    <w:rsid w:val="7489283A"/>
    <w:rsid w:val="749262B3"/>
    <w:rsid w:val="749529EE"/>
    <w:rsid w:val="74973215"/>
    <w:rsid w:val="74A6039C"/>
    <w:rsid w:val="74AE5076"/>
    <w:rsid w:val="74B53285"/>
    <w:rsid w:val="74B746E8"/>
    <w:rsid w:val="74C3296B"/>
    <w:rsid w:val="74D67798"/>
    <w:rsid w:val="74D87365"/>
    <w:rsid w:val="74DF4168"/>
    <w:rsid w:val="75111A9D"/>
    <w:rsid w:val="752650AE"/>
    <w:rsid w:val="752D306B"/>
    <w:rsid w:val="753022BE"/>
    <w:rsid w:val="75311E23"/>
    <w:rsid w:val="754337CB"/>
    <w:rsid w:val="754F3919"/>
    <w:rsid w:val="75530645"/>
    <w:rsid w:val="755631A4"/>
    <w:rsid w:val="755F2C4C"/>
    <w:rsid w:val="75732383"/>
    <w:rsid w:val="75799A35"/>
    <w:rsid w:val="757B1931"/>
    <w:rsid w:val="7594489B"/>
    <w:rsid w:val="7595501B"/>
    <w:rsid w:val="7596405D"/>
    <w:rsid w:val="759F5E08"/>
    <w:rsid w:val="75B791F7"/>
    <w:rsid w:val="75BE4BC3"/>
    <w:rsid w:val="75DF5DB2"/>
    <w:rsid w:val="760E5232"/>
    <w:rsid w:val="762A38F1"/>
    <w:rsid w:val="762B622C"/>
    <w:rsid w:val="762E5891"/>
    <w:rsid w:val="763E0596"/>
    <w:rsid w:val="763E182F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719EA"/>
    <w:rsid w:val="76CC04C9"/>
    <w:rsid w:val="76D631D8"/>
    <w:rsid w:val="76E00FAD"/>
    <w:rsid w:val="76EC646B"/>
    <w:rsid w:val="76EF6A03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316598"/>
    <w:rsid w:val="774515AC"/>
    <w:rsid w:val="774F00C5"/>
    <w:rsid w:val="776023D0"/>
    <w:rsid w:val="776B46B2"/>
    <w:rsid w:val="776F431B"/>
    <w:rsid w:val="7778233C"/>
    <w:rsid w:val="777965ED"/>
    <w:rsid w:val="777BC151"/>
    <w:rsid w:val="77817EAC"/>
    <w:rsid w:val="77891315"/>
    <w:rsid w:val="778D6E1D"/>
    <w:rsid w:val="77927428"/>
    <w:rsid w:val="779D7593"/>
    <w:rsid w:val="779D792C"/>
    <w:rsid w:val="77AB7559"/>
    <w:rsid w:val="77B211C1"/>
    <w:rsid w:val="77B827FD"/>
    <w:rsid w:val="77C11145"/>
    <w:rsid w:val="77C80872"/>
    <w:rsid w:val="77D02423"/>
    <w:rsid w:val="77D65936"/>
    <w:rsid w:val="77DC06F1"/>
    <w:rsid w:val="77E17736"/>
    <w:rsid w:val="77E61546"/>
    <w:rsid w:val="77EC3461"/>
    <w:rsid w:val="77FD22D0"/>
    <w:rsid w:val="77FE1F75"/>
    <w:rsid w:val="77FE24F2"/>
    <w:rsid w:val="77FF379C"/>
    <w:rsid w:val="781D2B81"/>
    <w:rsid w:val="78216773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B561F9"/>
    <w:rsid w:val="79B90BB7"/>
    <w:rsid w:val="79BB2056"/>
    <w:rsid w:val="79C178A4"/>
    <w:rsid w:val="79C87ACE"/>
    <w:rsid w:val="79CA5589"/>
    <w:rsid w:val="79CA72B2"/>
    <w:rsid w:val="79CB01E3"/>
    <w:rsid w:val="79DC07CB"/>
    <w:rsid w:val="79E24A71"/>
    <w:rsid w:val="79EFC3FE"/>
    <w:rsid w:val="79F3602D"/>
    <w:rsid w:val="79F729CB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E5B35"/>
    <w:rsid w:val="7ABD3C4C"/>
    <w:rsid w:val="7AC42EFD"/>
    <w:rsid w:val="7AC90770"/>
    <w:rsid w:val="7ACF293B"/>
    <w:rsid w:val="7ACF5FBB"/>
    <w:rsid w:val="7AD51A8A"/>
    <w:rsid w:val="7AEE6F5C"/>
    <w:rsid w:val="7AF3075E"/>
    <w:rsid w:val="7AF76867"/>
    <w:rsid w:val="7B1903CB"/>
    <w:rsid w:val="7B223A05"/>
    <w:rsid w:val="7B2C1EB5"/>
    <w:rsid w:val="7B375F8B"/>
    <w:rsid w:val="7B4C0855"/>
    <w:rsid w:val="7B550266"/>
    <w:rsid w:val="7B552736"/>
    <w:rsid w:val="7B623A28"/>
    <w:rsid w:val="7B845564"/>
    <w:rsid w:val="7BA6311A"/>
    <w:rsid w:val="7BAF8E42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D23C1"/>
    <w:rsid w:val="7BF553C8"/>
    <w:rsid w:val="7BF84150"/>
    <w:rsid w:val="7BFAF9D9"/>
    <w:rsid w:val="7BFD524D"/>
    <w:rsid w:val="7BFF3BBD"/>
    <w:rsid w:val="7BFF9164"/>
    <w:rsid w:val="7BFFEBD7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22C20"/>
    <w:rsid w:val="7CE529A1"/>
    <w:rsid w:val="7CF655CB"/>
    <w:rsid w:val="7CFBD342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0535D"/>
    <w:rsid w:val="7DD662D0"/>
    <w:rsid w:val="7DDC39A2"/>
    <w:rsid w:val="7DDF5BB8"/>
    <w:rsid w:val="7DEE8C6B"/>
    <w:rsid w:val="7DF076CD"/>
    <w:rsid w:val="7E03513B"/>
    <w:rsid w:val="7E145B78"/>
    <w:rsid w:val="7E1625A8"/>
    <w:rsid w:val="7E1E5DFA"/>
    <w:rsid w:val="7E45572A"/>
    <w:rsid w:val="7E4F3EE6"/>
    <w:rsid w:val="7E525688"/>
    <w:rsid w:val="7E5358A2"/>
    <w:rsid w:val="7E57165F"/>
    <w:rsid w:val="7E5C5F01"/>
    <w:rsid w:val="7E72494E"/>
    <w:rsid w:val="7E74D3B3"/>
    <w:rsid w:val="7E811934"/>
    <w:rsid w:val="7E8F6B16"/>
    <w:rsid w:val="7EA617D8"/>
    <w:rsid w:val="7EA96A04"/>
    <w:rsid w:val="7ECA7D82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3367F6"/>
    <w:rsid w:val="7F37AB5C"/>
    <w:rsid w:val="7F3DA1ED"/>
    <w:rsid w:val="7F3F0528"/>
    <w:rsid w:val="7F405636"/>
    <w:rsid w:val="7F560F95"/>
    <w:rsid w:val="7F737A53"/>
    <w:rsid w:val="7F8304E3"/>
    <w:rsid w:val="7F8339FD"/>
    <w:rsid w:val="7F974ED5"/>
    <w:rsid w:val="7F9F5B2E"/>
    <w:rsid w:val="7FA15F27"/>
    <w:rsid w:val="7FB25973"/>
    <w:rsid w:val="7FB65C71"/>
    <w:rsid w:val="7FBDC13B"/>
    <w:rsid w:val="7FBFA111"/>
    <w:rsid w:val="7FCE1A7C"/>
    <w:rsid w:val="7FEF49CD"/>
    <w:rsid w:val="7FF1301C"/>
    <w:rsid w:val="7FF5744B"/>
    <w:rsid w:val="7FFB039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FAD8EF4-4DE9-4DE9-9C66-71AFF9CC3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1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1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1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1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1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1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1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1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1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1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1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19bis-e/Docs/R2-2210995.zi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1115</Words>
  <Characters>6356</Characters>
  <Application>Microsoft Office Word</Application>
  <DocSecurity>0</DocSecurity>
  <Lines>52</Lines>
  <Paragraphs>14</Paragraphs>
  <ScaleCrop>false</ScaleCrop>
  <Company>www.zte.com.cn</Company>
  <LinksUpToDate>false</LinksUpToDate>
  <CharactersWithSpaces>7457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107</cp:revision>
  <cp:lastPrinted>2113-01-04T16:00:00Z</cp:lastPrinted>
  <dcterms:created xsi:type="dcterms:W3CDTF">2022-08-12T05:07:00Z</dcterms:created>
  <dcterms:modified xsi:type="dcterms:W3CDTF">2023-02-17T08:56:00Z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C2F1F6DAD5464A89BB36E0D09A26EDF7</vt:lpwstr>
  </property>
</Properties>
</file>